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8B" w:rsidRPr="002F4595" w:rsidRDefault="00732D8D" w:rsidP="0035198B">
      <w:pPr>
        <w:pStyle w:val="ListParagraph"/>
        <w:ind w:left="2880"/>
        <w:jc w:val="both"/>
        <w:rPr>
          <w:rFonts w:ascii="Arial" w:hAnsi="Arial" w:cs="Arial"/>
          <w:b/>
          <w:sz w:val="6"/>
          <w:szCs w:val="24"/>
        </w:rPr>
      </w:pPr>
      <w:r>
        <w:rPr>
          <w:rFonts w:ascii="Arial" w:hAnsi="Arial" w:cs="Arial"/>
          <w:b/>
          <w:noProof/>
          <w:sz w:val="6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-314325</wp:posOffset>
            </wp:positionV>
            <wp:extent cx="795655" cy="1061085"/>
            <wp:effectExtent l="19050" t="19050" r="23495" b="24765"/>
            <wp:wrapSquare wrapText="bothSides"/>
            <wp:docPr id="13" name="Picture 10" descr="http://www.vimarsh.in/sites/default/files/DepartmentofScienceandTechnology.jpg?134771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imarsh.in/sites/default/files/DepartmentofScienceandTechnology.jpg?134771241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61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98B" w:rsidRDefault="0035198B" w:rsidP="0035198B">
      <w:pPr>
        <w:pStyle w:val="ListParagraph"/>
        <w:ind w:left="2880"/>
        <w:jc w:val="both"/>
        <w:rPr>
          <w:rFonts w:ascii="Arial" w:hAnsi="Arial" w:cs="Arial"/>
          <w:b/>
          <w:sz w:val="24"/>
          <w:szCs w:val="24"/>
        </w:rPr>
      </w:pPr>
    </w:p>
    <w:p w:rsidR="0035198B" w:rsidRPr="00F0096C" w:rsidRDefault="0035198B" w:rsidP="0035198B">
      <w:pPr>
        <w:pStyle w:val="ListParagraph"/>
        <w:ind w:left="2880"/>
        <w:jc w:val="center"/>
        <w:rPr>
          <w:b/>
          <w:sz w:val="2"/>
          <w:szCs w:val="24"/>
        </w:rPr>
      </w:pPr>
    </w:p>
    <w:p w:rsidR="0035198B" w:rsidRPr="00F0096C" w:rsidRDefault="0035198B" w:rsidP="0035198B">
      <w:pPr>
        <w:pStyle w:val="ListParagraph"/>
        <w:ind w:left="1890"/>
        <w:rPr>
          <w:b/>
          <w:sz w:val="24"/>
          <w:szCs w:val="24"/>
        </w:rPr>
      </w:pPr>
      <w:r w:rsidRPr="00F0096C">
        <w:rPr>
          <w:b/>
          <w:sz w:val="24"/>
          <w:szCs w:val="24"/>
        </w:rPr>
        <w:t xml:space="preserve">                No. BT/</w:t>
      </w:r>
      <w:r w:rsidRPr="00F0096C">
        <w:rPr>
          <w:rFonts w:eastAsiaTheme="minorHAnsi"/>
          <w:b/>
          <w:bCs/>
          <w:sz w:val="24"/>
          <w:szCs w:val="24"/>
        </w:rPr>
        <w:t xml:space="preserve"> DBT/Med-II/</w:t>
      </w:r>
      <w:proofErr w:type="spellStart"/>
      <w:r w:rsidRPr="00F0096C">
        <w:rPr>
          <w:rFonts w:eastAsiaTheme="minorHAnsi"/>
          <w:b/>
          <w:bCs/>
          <w:sz w:val="24"/>
          <w:szCs w:val="24"/>
        </w:rPr>
        <w:t>Advt</w:t>
      </w:r>
      <w:proofErr w:type="spellEnd"/>
      <w:r w:rsidRPr="00F0096C">
        <w:rPr>
          <w:rFonts w:eastAsiaTheme="minorHAnsi"/>
          <w:b/>
          <w:bCs/>
          <w:sz w:val="24"/>
          <w:szCs w:val="24"/>
        </w:rPr>
        <w:t>-I</w:t>
      </w:r>
      <w:r w:rsidR="0047593B">
        <w:rPr>
          <w:rFonts w:eastAsiaTheme="minorHAnsi"/>
          <w:b/>
          <w:bCs/>
          <w:sz w:val="24"/>
          <w:szCs w:val="24"/>
        </w:rPr>
        <w:t>I</w:t>
      </w:r>
      <w:r w:rsidRPr="00F0096C">
        <w:rPr>
          <w:rFonts w:eastAsiaTheme="minorHAnsi"/>
          <w:b/>
          <w:bCs/>
          <w:sz w:val="24"/>
          <w:szCs w:val="24"/>
        </w:rPr>
        <w:t>/2019</w:t>
      </w:r>
    </w:p>
    <w:p w:rsidR="0035198B" w:rsidRPr="00F0096C" w:rsidRDefault="0035198B" w:rsidP="0035198B">
      <w:pPr>
        <w:pStyle w:val="ListParagraph"/>
        <w:ind w:left="2880"/>
        <w:rPr>
          <w:b/>
          <w:sz w:val="24"/>
          <w:szCs w:val="24"/>
        </w:rPr>
      </w:pPr>
      <w:r w:rsidRPr="00F0096C">
        <w:rPr>
          <w:b/>
          <w:sz w:val="24"/>
          <w:szCs w:val="24"/>
        </w:rPr>
        <w:t xml:space="preserve">   Department of Biotechnology</w:t>
      </w:r>
    </w:p>
    <w:p w:rsidR="0035198B" w:rsidRPr="00F0096C" w:rsidRDefault="0035198B" w:rsidP="0035198B">
      <w:pPr>
        <w:pStyle w:val="ListParagraph"/>
        <w:ind w:left="2880"/>
        <w:rPr>
          <w:b/>
          <w:sz w:val="24"/>
          <w:szCs w:val="24"/>
        </w:rPr>
      </w:pPr>
      <w:r w:rsidRPr="00F0096C">
        <w:rPr>
          <w:b/>
          <w:sz w:val="24"/>
          <w:szCs w:val="24"/>
        </w:rPr>
        <w:t xml:space="preserve">  Medical Biotechnology Division</w:t>
      </w:r>
    </w:p>
    <w:p w:rsidR="0035198B" w:rsidRPr="00F0096C" w:rsidRDefault="0035198B" w:rsidP="00351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96C">
        <w:rPr>
          <w:rFonts w:ascii="Times New Roman" w:hAnsi="Times New Roman" w:cs="Times New Roman"/>
          <w:b/>
          <w:sz w:val="24"/>
          <w:szCs w:val="24"/>
        </w:rPr>
        <w:t xml:space="preserve">                      Ministry of Science &amp; Technology</w:t>
      </w:r>
    </w:p>
    <w:p w:rsidR="0035198B" w:rsidRPr="00F0096C" w:rsidRDefault="0035198B" w:rsidP="0035198B">
      <w:pPr>
        <w:pStyle w:val="ListParagraph"/>
        <w:ind w:left="2880"/>
        <w:rPr>
          <w:b/>
          <w:sz w:val="24"/>
          <w:szCs w:val="24"/>
        </w:rPr>
      </w:pPr>
      <w:r w:rsidRPr="00F0096C">
        <w:rPr>
          <w:b/>
          <w:sz w:val="24"/>
          <w:szCs w:val="24"/>
        </w:rPr>
        <w:t xml:space="preserve">         Government of India</w:t>
      </w:r>
    </w:p>
    <w:p w:rsidR="0035198B" w:rsidRPr="002F4595" w:rsidRDefault="0035198B" w:rsidP="0035198B">
      <w:pPr>
        <w:tabs>
          <w:tab w:val="left" w:pos="530"/>
          <w:tab w:val="center" w:pos="4513"/>
        </w:tabs>
        <w:spacing w:after="0"/>
        <w:jc w:val="center"/>
        <w:rPr>
          <w:rFonts w:cstheme="minorHAnsi"/>
          <w:b/>
          <w:bCs/>
          <w:sz w:val="2"/>
        </w:rPr>
      </w:pPr>
    </w:p>
    <w:p w:rsidR="0035198B" w:rsidRDefault="0035198B" w:rsidP="0035198B">
      <w:pPr>
        <w:tabs>
          <w:tab w:val="left" w:pos="530"/>
          <w:tab w:val="center" w:pos="4513"/>
        </w:tabs>
        <w:spacing w:after="0"/>
        <w:rPr>
          <w:rFonts w:cstheme="minorHAnsi"/>
          <w:b/>
          <w:bCs/>
        </w:rPr>
      </w:pPr>
    </w:p>
    <w:p w:rsidR="0035198B" w:rsidRDefault="0035198B" w:rsidP="0035198B">
      <w:pPr>
        <w:spacing w:after="0"/>
        <w:rPr>
          <w:rFonts w:cstheme="minorHAnsi"/>
          <w:b/>
          <w:bCs/>
          <w:sz w:val="28"/>
          <w:szCs w:val="28"/>
        </w:rPr>
      </w:pPr>
    </w:p>
    <w:p w:rsidR="0035198B" w:rsidRPr="00F0096C" w:rsidRDefault="0035198B" w:rsidP="003519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96C">
        <w:rPr>
          <w:rFonts w:ascii="Times New Roman" w:hAnsi="Times New Roman" w:cs="Times New Roman"/>
          <w:b/>
          <w:bCs/>
          <w:sz w:val="28"/>
          <w:szCs w:val="28"/>
        </w:rPr>
        <w:t xml:space="preserve">Maternal and Child Health </w:t>
      </w:r>
      <w:proofErr w:type="spellStart"/>
      <w:r w:rsidRPr="00F0096C">
        <w:rPr>
          <w:rFonts w:ascii="Times New Roman" w:hAnsi="Times New Roman" w:cs="Times New Roman"/>
          <w:b/>
          <w:bCs/>
          <w:sz w:val="28"/>
          <w:szCs w:val="28"/>
        </w:rPr>
        <w:t>Programme</w:t>
      </w:r>
      <w:proofErr w:type="spellEnd"/>
    </w:p>
    <w:p w:rsidR="0035198B" w:rsidRDefault="0035198B" w:rsidP="008713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47593B" w:rsidRDefault="00602478" w:rsidP="008713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val="en-IN"/>
        </w:rPr>
      </w:pPr>
      <w:r w:rsidRPr="007F36B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Call for </w:t>
      </w:r>
      <w:r w:rsidR="009742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Letters of Intent (LOI</w:t>
      </w:r>
      <w:r w:rsidR="00F27F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s</w:t>
      </w:r>
      <w:r w:rsidR="009742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)</w:t>
      </w:r>
      <w:r w:rsidR="000974D1" w:rsidRPr="007F36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7F36B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in the area of </w:t>
      </w:r>
      <w:r w:rsidR="0047593B" w:rsidRPr="0047593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val="en-IN"/>
        </w:rPr>
        <w:t>Pr</w:t>
      </w:r>
      <w:r w:rsidR="00013BD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val="en-IN"/>
        </w:rPr>
        <w:t>oblems associated with Women’s H</w:t>
      </w:r>
      <w:r w:rsidR="0047593B" w:rsidRPr="0047593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val="en-IN"/>
        </w:rPr>
        <w:t xml:space="preserve">ealth </w:t>
      </w:r>
    </w:p>
    <w:p w:rsidR="0047593B" w:rsidRDefault="0047593B" w:rsidP="0047593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Women have unique health issues</w:t>
      </w:r>
      <w:r w:rsidRPr="00946E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</w:t>
      </w:r>
      <w:r w:rsidRPr="00D667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bear exclusive health concerns, such as </w:t>
      </w:r>
      <w:r w:rsidR="009B57C1" w:rsidRPr="00D667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pregnancy</w:t>
      </w:r>
      <w:r w:rsidRPr="00D667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menopause</w:t>
      </w:r>
      <w:r w:rsidR="009B5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B57C1" w:rsidRPr="009B5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57C1" w:rsidRPr="00D667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cervical cancer</w:t>
      </w:r>
      <w:r w:rsidRPr="00D667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9B57C1" w:rsidRPr="00D667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breast cancer</w:t>
      </w:r>
      <w:r w:rsidR="009B5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B57C1" w:rsidRPr="009B57C1">
        <w:rPr>
          <w:rFonts w:ascii="Calibri" w:eastAsia="Times New Roman" w:hAnsi="Calibri" w:cs="Times New Roman"/>
          <w:shd w:val="clear" w:color="auto" w:fill="FFFDFF"/>
          <w:lang w:eastAsia="en-IN"/>
        </w:rPr>
        <w:t xml:space="preserve"> </w:t>
      </w:r>
      <w:r w:rsidR="009B57C1" w:rsidRPr="009B57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There are very few research programs that have absolute focus on fundamental and clinical aspects of women's health.</w:t>
      </w:r>
    </w:p>
    <w:p w:rsidR="0047593B" w:rsidRDefault="0047593B" w:rsidP="0047593B">
      <w:pPr>
        <w:jc w:val="both"/>
        <w:rPr>
          <w:rFonts w:ascii="Times New Roman" w:hAnsi="Times New Roman" w:cs="Times New Roman"/>
          <w:sz w:val="24"/>
          <w:szCs w:val="24"/>
        </w:rPr>
      </w:pPr>
      <w:r w:rsidRPr="00DA5AA6">
        <w:rPr>
          <w:rFonts w:ascii="Times New Roman" w:hAnsi="Times New Roman" w:cs="Times New Roman"/>
          <w:sz w:val="24"/>
          <w:szCs w:val="24"/>
        </w:rPr>
        <w:t xml:space="preserve">The Department of Biotechnology is </w:t>
      </w:r>
      <w:r>
        <w:rPr>
          <w:rFonts w:ascii="Times New Roman" w:hAnsi="Times New Roman" w:cs="Times New Roman"/>
          <w:sz w:val="24"/>
          <w:szCs w:val="24"/>
        </w:rPr>
        <w:t xml:space="preserve">desirous of inviting fresh perspectives and ingenious ideas to identify the problems and possible interventions and solutions on issues concerning Women’s Health. A </w:t>
      </w:r>
      <w:r w:rsidR="009B57C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all for </w:t>
      </w:r>
      <w:r w:rsidR="00974224">
        <w:rPr>
          <w:rFonts w:ascii="Times New Roman" w:hAnsi="Times New Roman" w:cs="Times New Roman"/>
          <w:sz w:val="24"/>
          <w:szCs w:val="24"/>
        </w:rPr>
        <w:t>LOI</w:t>
      </w:r>
      <w:r w:rsidRPr="00DA5AA6">
        <w:rPr>
          <w:rFonts w:ascii="Times New Roman" w:hAnsi="Times New Roman" w:cs="Times New Roman"/>
          <w:sz w:val="24"/>
          <w:szCs w:val="24"/>
        </w:rPr>
        <w:t xml:space="preserve"> forming independent components or multi-centric network program in both clinical and basic research is invited with following </w:t>
      </w:r>
      <w:r>
        <w:rPr>
          <w:rFonts w:ascii="Times New Roman" w:hAnsi="Times New Roman" w:cs="Times New Roman"/>
          <w:sz w:val="24"/>
          <w:szCs w:val="24"/>
        </w:rPr>
        <w:t>broad</w:t>
      </w:r>
      <w:r w:rsidRPr="00DA5AA6">
        <w:rPr>
          <w:rFonts w:ascii="Times New Roman" w:hAnsi="Times New Roman" w:cs="Times New Roman"/>
          <w:sz w:val="24"/>
          <w:szCs w:val="24"/>
        </w:rPr>
        <w:t xml:space="preserve"> areas:</w:t>
      </w:r>
    </w:p>
    <w:p w:rsidR="00E0481A" w:rsidRPr="005855BA" w:rsidRDefault="00E0481A" w:rsidP="00E0481A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Development and evaluation of newer cost effective methods for menstrual hygiene </w:t>
      </w:r>
    </w:p>
    <w:p w:rsidR="00E0481A" w:rsidRPr="005855BA" w:rsidRDefault="00E0481A" w:rsidP="00E0481A">
      <w:pPr>
        <w:pStyle w:val="ListParagraph"/>
        <w:numPr>
          <w:ilvl w:val="0"/>
          <w:numId w:val="34"/>
        </w:numPr>
        <w:spacing w:line="276" w:lineRule="auto"/>
        <w:jc w:val="both"/>
        <w:rPr>
          <w:bCs/>
          <w:color w:val="000000" w:themeColor="text1"/>
          <w:sz w:val="24"/>
          <w:szCs w:val="24"/>
          <w:lang w:val="en-IN"/>
        </w:rPr>
      </w:pPr>
      <w:r w:rsidRPr="005855BA">
        <w:rPr>
          <w:bCs/>
          <w:color w:val="000000" w:themeColor="text1"/>
          <w:sz w:val="24"/>
          <w:szCs w:val="24"/>
          <w:lang w:val="en-IN"/>
        </w:rPr>
        <w:t xml:space="preserve">To study the health implications </w:t>
      </w:r>
      <w:r w:rsidRPr="005855BA">
        <w:rPr>
          <w:color w:val="000000" w:themeColor="text1"/>
          <w:sz w:val="24"/>
          <w:szCs w:val="24"/>
        </w:rPr>
        <w:t xml:space="preserve">of menstrual hygiene management (MHM) on women of reproductive health and its implications. </w:t>
      </w:r>
    </w:p>
    <w:p w:rsidR="00E0481A" w:rsidRPr="005855BA" w:rsidRDefault="00E0481A" w:rsidP="00E0481A">
      <w:pPr>
        <w:pStyle w:val="ListParagraph"/>
        <w:numPr>
          <w:ilvl w:val="0"/>
          <w:numId w:val="34"/>
        </w:numPr>
        <w:spacing w:line="276" w:lineRule="auto"/>
        <w:jc w:val="both"/>
        <w:rPr>
          <w:bCs/>
          <w:color w:val="000000" w:themeColor="text1"/>
          <w:sz w:val="24"/>
          <w:szCs w:val="24"/>
          <w:lang w:val="en-IN"/>
        </w:rPr>
      </w:pPr>
      <w:r w:rsidRPr="005855BA">
        <w:rPr>
          <w:bCs/>
          <w:color w:val="000000" w:themeColor="text1"/>
          <w:sz w:val="24"/>
          <w:szCs w:val="24"/>
        </w:rPr>
        <w:t>To study the associations between specific menstrual hygiene practices and other pathogens causing RTIs or UTIs.</w:t>
      </w:r>
    </w:p>
    <w:p w:rsidR="00E0481A" w:rsidRPr="005855BA" w:rsidRDefault="00E0481A" w:rsidP="00E0481A">
      <w:pPr>
        <w:pStyle w:val="ListParagraph"/>
        <w:numPr>
          <w:ilvl w:val="0"/>
          <w:numId w:val="34"/>
        </w:numPr>
        <w:spacing w:line="276" w:lineRule="auto"/>
        <w:jc w:val="both"/>
        <w:rPr>
          <w:bCs/>
          <w:color w:val="000000" w:themeColor="text1"/>
          <w:sz w:val="24"/>
          <w:szCs w:val="24"/>
          <w:lang w:val="en-IN"/>
        </w:rPr>
      </w:pPr>
      <w:r w:rsidRPr="005855BA">
        <w:rPr>
          <w:bCs/>
          <w:color w:val="000000" w:themeColor="text1"/>
          <w:sz w:val="24"/>
          <w:szCs w:val="24"/>
        </w:rPr>
        <w:t>Health implications of menstrual wastes and management of menstrual wastes.</w:t>
      </w:r>
    </w:p>
    <w:p w:rsidR="00E0481A" w:rsidRPr="005855BA" w:rsidRDefault="00E0481A" w:rsidP="00E0481A">
      <w:pPr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</w:p>
    <w:p w:rsidR="00E0481A" w:rsidRPr="005855BA" w:rsidRDefault="00E0481A" w:rsidP="00E0481A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Newer strategies for prevention, diagnosis and treatment of sexually transmitted infections/ reproductive tract infections (except HIV)</w:t>
      </w:r>
    </w:p>
    <w:p w:rsidR="00E0481A" w:rsidRPr="005855BA" w:rsidRDefault="00E0481A" w:rsidP="00E0481A">
      <w:pPr>
        <w:pStyle w:val="ListParagraph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  <w:sz w:val="24"/>
          <w:szCs w:val="24"/>
          <w:lang w:val="en-IN"/>
        </w:rPr>
      </w:pPr>
      <w:r w:rsidRPr="005855BA">
        <w:rPr>
          <w:bCs/>
          <w:color w:val="000000" w:themeColor="text1"/>
          <w:sz w:val="24"/>
          <w:szCs w:val="24"/>
        </w:rPr>
        <w:t>Understanding impact of STI/RTI on reproductive and child health</w:t>
      </w:r>
    </w:p>
    <w:p w:rsidR="00E0481A" w:rsidRPr="005855BA" w:rsidRDefault="00E0481A" w:rsidP="00E0481A">
      <w:pPr>
        <w:pStyle w:val="ListParagraph"/>
        <w:numPr>
          <w:ilvl w:val="0"/>
          <w:numId w:val="38"/>
        </w:num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5855BA">
        <w:rPr>
          <w:bCs/>
          <w:color w:val="000000" w:themeColor="text1"/>
          <w:sz w:val="24"/>
          <w:szCs w:val="24"/>
        </w:rPr>
        <w:t xml:space="preserve">To develop new interventions  </w:t>
      </w:r>
    </w:p>
    <w:p w:rsidR="00E0481A" w:rsidRPr="005855BA" w:rsidRDefault="00E0481A" w:rsidP="00E0481A">
      <w:pPr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</w:p>
    <w:p w:rsidR="00E0481A" w:rsidRPr="005855BA" w:rsidRDefault="00E0481A" w:rsidP="00E0481A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Understanding the biology of Genital tuberculosis (</w:t>
      </w:r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female genital TB (FGTB))</w:t>
      </w:r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, diagnosis and evaluation of its management</w:t>
      </w:r>
    </w:p>
    <w:p w:rsidR="00E0481A" w:rsidRPr="005855BA" w:rsidRDefault="00E0481A" w:rsidP="00E0481A">
      <w:pPr>
        <w:pStyle w:val="ListParagraph"/>
        <w:numPr>
          <w:ilvl w:val="0"/>
          <w:numId w:val="36"/>
        </w:num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5855BA">
        <w:rPr>
          <w:bCs/>
          <w:color w:val="000000" w:themeColor="text1"/>
          <w:sz w:val="24"/>
          <w:szCs w:val="24"/>
        </w:rPr>
        <w:t>Understanding low conception rates among infertile women with genital TB </w:t>
      </w:r>
    </w:p>
    <w:p w:rsidR="00E0481A" w:rsidRPr="005855BA" w:rsidRDefault="00E0481A" w:rsidP="00E0481A">
      <w:pPr>
        <w:pStyle w:val="ListParagraph"/>
        <w:numPr>
          <w:ilvl w:val="0"/>
          <w:numId w:val="36"/>
        </w:numPr>
        <w:spacing w:line="276" w:lineRule="auto"/>
        <w:jc w:val="both"/>
        <w:rPr>
          <w:bCs/>
          <w:color w:val="000000" w:themeColor="text1"/>
          <w:sz w:val="24"/>
          <w:szCs w:val="24"/>
          <w:lang w:val="en-IN"/>
        </w:rPr>
      </w:pPr>
      <w:r w:rsidRPr="005855BA">
        <w:rPr>
          <w:bCs/>
          <w:color w:val="000000" w:themeColor="text1"/>
          <w:sz w:val="24"/>
          <w:szCs w:val="24"/>
        </w:rPr>
        <w:t>Understanding risk of complications such as ectopic pregnancy and miscarriage among women with genital TB </w:t>
      </w:r>
    </w:p>
    <w:p w:rsidR="00E0481A" w:rsidRPr="005855BA" w:rsidRDefault="00E0481A" w:rsidP="00E0481A">
      <w:pPr>
        <w:pStyle w:val="ListParagraph"/>
        <w:numPr>
          <w:ilvl w:val="0"/>
          <w:numId w:val="36"/>
        </w:numPr>
        <w:spacing w:line="276" w:lineRule="auto"/>
        <w:jc w:val="both"/>
        <w:rPr>
          <w:bCs/>
          <w:color w:val="000000" w:themeColor="text1"/>
          <w:sz w:val="24"/>
          <w:szCs w:val="24"/>
          <w:lang w:val="en-IN"/>
        </w:rPr>
      </w:pPr>
      <w:r w:rsidRPr="005855BA">
        <w:rPr>
          <w:bCs/>
          <w:color w:val="000000" w:themeColor="text1"/>
          <w:sz w:val="24"/>
          <w:szCs w:val="24"/>
        </w:rPr>
        <w:t>Single diagnostic test to confirm the diagnosis of FGTB</w:t>
      </w:r>
    </w:p>
    <w:p w:rsidR="00E0481A" w:rsidRPr="005855BA" w:rsidRDefault="00E0481A" w:rsidP="00E0481A">
      <w:pPr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</w:p>
    <w:p w:rsidR="0095053E" w:rsidRPr="005855BA" w:rsidRDefault="0095053E" w:rsidP="0095053E">
      <w:pPr>
        <w:pStyle w:val="ListParagraph"/>
        <w:numPr>
          <w:ilvl w:val="0"/>
          <w:numId w:val="33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5855BA">
        <w:rPr>
          <w:color w:val="000000" w:themeColor="text1"/>
          <w:sz w:val="24"/>
          <w:szCs w:val="24"/>
        </w:rPr>
        <w:t>Long-term effects of assisted reproduction on women’s health</w:t>
      </w:r>
    </w:p>
    <w:p w:rsidR="00E0481A" w:rsidRPr="0095053E" w:rsidRDefault="00E0481A" w:rsidP="0095053E">
      <w:pPr>
        <w:pStyle w:val="ListParagraph"/>
        <w:numPr>
          <w:ilvl w:val="0"/>
          <w:numId w:val="43"/>
        </w:numPr>
        <w:ind w:left="720"/>
        <w:jc w:val="both"/>
        <w:rPr>
          <w:bCs/>
          <w:color w:val="000000" w:themeColor="text1"/>
          <w:sz w:val="24"/>
          <w:szCs w:val="24"/>
          <w:lang w:val="en-IN"/>
        </w:rPr>
      </w:pPr>
      <w:r w:rsidRPr="0095053E">
        <w:rPr>
          <w:bCs/>
          <w:color w:val="000000" w:themeColor="text1"/>
          <w:sz w:val="24"/>
          <w:szCs w:val="24"/>
          <w:lang w:val="en-IN"/>
        </w:rPr>
        <w:lastRenderedPageBreak/>
        <w:t xml:space="preserve">Long term consequences of ovarian stimulation on ovarian </w:t>
      </w:r>
      <w:proofErr w:type="spellStart"/>
      <w:r w:rsidRPr="0095053E">
        <w:rPr>
          <w:bCs/>
          <w:color w:val="000000" w:themeColor="text1"/>
          <w:sz w:val="24"/>
          <w:szCs w:val="24"/>
          <w:lang w:val="en-IN"/>
        </w:rPr>
        <w:t>pathophysiology</w:t>
      </w:r>
      <w:proofErr w:type="spellEnd"/>
    </w:p>
    <w:p w:rsidR="00E0481A" w:rsidRPr="005855BA" w:rsidRDefault="00E0481A" w:rsidP="00E0481A">
      <w:pPr>
        <w:pStyle w:val="ListParagraph"/>
        <w:numPr>
          <w:ilvl w:val="0"/>
          <w:numId w:val="35"/>
        </w:numPr>
        <w:spacing w:line="276" w:lineRule="auto"/>
        <w:rPr>
          <w:color w:val="000000" w:themeColor="text1"/>
          <w:sz w:val="24"/>
          <w:szCs w:val="24"/>
        </w:rPr>
      </w:pPr>
      <w:r w:rsidRPr="005855BA">
        <w:rPr>
          <w:color w:val="000000" w:themeColor="text1"/>
          <w:kern w:val="24"/>
          <w:sz w:val="24"/>
          <w:szCs w:val="24"/>
        </w:rPr>
        <w:t>Identification of the causes underlying recurrent implantation failure</w:t>
      </w:r>
    </w:p>
    <w:p w:rsidR="00E0481A" w:rsidRPr="005855BA" w:rsidRDefault="00E0481A" w:rsidP="00E0481A">
      <w:pPr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</w:p>
    <w:p w:rsidR="00E0481A" w:rsidRPr="005855BA" w:rsidRDefault="00E0481A" w:rsidP="00E0481A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Understanding the biology and physiology of aberrant </w:t>
      </w:r>
      <w:proofErr w:type="spellStart"/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placentation</w:t>
      </w:r>
      <w:proofErr w:type="spellEnd"/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in pregnancy complications</w:t>
      </w:r>
    </w:p>
    <w:p w:rsidR="00E0481A" w:rsidRPr="005855BA" w:rsidRDefault="00E0481A" w:rsidP="00E0481A">
      <w:pPr>
        <w:pStyle w:val="ListParagraph"/>
        <w:numPr>
          <w:ilvl w:val="0"/>
          <w:numId w:val="37"/>
        </w:numPr>
        <w:spacing w:after="200" w:line="276" w:lineRule="auto"/>
        <w:rPr>
          <w:color w:val="000000" w:themeColor="text1"/>
        </w:rPr>
      </w:pPr>
      <w:r w:rsidRPr="005855BA">
        <w:rPr>
          <w:color w:val="000000" w:themeColor="text1"/>
          <w:sz w:val="24"/>
          <w:szCs w:val="24"/>
        </w:rPr>
        <w:t>Physiology of parturition, preterm labor and premature rupture of membranes</w:t>
      </w:r>
    </w:p>
    <w:p w:rsidR="00E0481A" w:rsidRPr="005855BA" w:rsidRDefault="00E0481A" w:rsidP="00E0481A">
      <w:pPr>
        <w:pStyle w:val="ListParagraph"/>
        <w:numPr>
          <w:ilvl w:val="0"/>
          <w:numId w:val="37"/>
        </w:numPr>
        <w:spacing w:after="200" w:line="276" w:lineRule="auto"/>
        <w:rPr>
          <w:color w:val="000000" w:themeColor="text1"/>
          <w:sz w:val="24"/>
          <w:szCs w:val="24"/>
        </w:rPr>
      </w:pPr>
      <w:r w:rsidRPr="005855BA">
        <w:rPr>
          <w:color w:val="000000" w:themeColor="text1"/>
          <w:sz w:val="24"/>
          <w:szCs w:val="24"/>
        </w:rPr>
        <w:t xml:space="preserve">Association of pregnancy-induced hypertension (PIH) and </w:t>
      </w:r>
      <w:proofErr w:type="spellStart"/>
      <w:r w:rsidRPr="005855BA">
        <w:rPr>
          <w:color w:val="000000" w:themeColor="text1"/>
          <w:sz w:val="24"/>
          <w:szCs w:val="24"/>
        </w:rPr>
        <w:t>eclampsia</w:t>
      </w:r>
      <w:proofErr w:type="spellEnd"/>
      <w:r w:rsidRPr="005855BA">
        <w:rPr>
          <w:color w:val="000000" w:themeColor="text1"/>
          <w:sz w:val="24"/>
          <w:szCs w:val="24"/>
        </w:rPr>
        <w:t xml:space="preserve"> with placental dysfunction</w:t>
      </w:r>
    </w:p>
    <w:p w:rsidR="00E0481A" w:rsidRPr="005855BA" w:rsidRDefault="00E0481A" w:rsidP="00E0481A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Impact of maternal nutrients on </w:t>
      </w:r>
      <w:proofErr w:type="spellStart"/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fetal</w:t>
      </w:r>
      <w:proofErr w:type="spellEnd"/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growth and early infancy</w:t>
      </w:r>
    </w:p>
    <w:p w:rsidR="00E0481A" w:rsidRPr="005855BA" w:rsidRDefault="00E0481A" w:rsidP="00E0481A">
      <w:pPr>
        <w:pStyle w:val="ListParagraph"/>
        <w:numPr>
          <w:ilvl w:val="0"/>
          <w:numId w:val="39"/>
        </w:numPr>
        <w:spacing w:after="200" w:line="276" w:lineRule="auto"/>
        <w:rPr>
          <w:color w:val="000000" w:themeColor="text1"/>
        </w:rPr>
      </w:pPr>
      <w:r w:rsidRPr="005855BA">
        <w:rPr>
          <w:color w:val="000000" w:themeColor="text1"/>
          <w:sz w:val="24"/>
          <w:szCs w:val="24"/>
        </w:rPr>
        <w:t xml:space="preserve">Impact of nutrition on fertility </w:t>
      </w:r>
    </w:p>
    <w:p w:rsidR="00E0481A" w:rsidRPr="005855BA" w:rsidRDefault="00E0481A" w:rsidP="00E0481A">
      <w:pPr>
        <w:pStyle w:val="ListParagraph"/>
        <w:numPr>
          <w:ilvl w:val="0"/>
          <w:numId w:val="39"/>
        </w:numPr>
        <w:spacing w:after="200" w:line="276" w:lineRule="auto"/>
        <w:rPr>
          <w:color w:val="000000" w:themeColor="text1"/>
          <w:sz w:val="24"/>
          <w:szCs w:val="24"/>
        </w:rPr>
      </w:pPr>
      <w:r w:rsidRPr="005855BA">
        <w:rPr>
          <w:color w:val="000000" w:themeColor="text1"/>
          <w:sz w:val="24"/>
          <w:szCs w:val="24"/>
        </w:rPr>
        <w:t>Animal model for investigating the molecular mechanisms causing variations in fetal development</w:t>
      </w:r>
    </w:p>
    <w:p w:rsidR="00E0481A" w:rsidRPr="005855BA" w:rsidRDefault="00E0481A" w:rsidP="00E0481A">
      <w:pPr>
        <w:pStyle w:val="ListParagraph"/>
        <w:numPr>
          <w:ilvl w:val="0"/>
          <w:numId w:val="39"/>
        </w:numPr>
        <w:spacing w:after="200" w:line="276" w:lineRule="auto"/>
        <w:rPr>
          <w:color w:val="000000" w:themeColor="text1"/>
          <w:sz w:val="24"/>
          <w:szCs w:val="24"/>
        </w:rPr>
      </w:pPr>
      <w:r w:rsidRPr="005855BA">
        <w:rPr>
          <w:color w:val="000000" w:themeColor="text1"/>
          <w:sz w:val="24"/>
          <w:szCs w:val="24"/>
        </w:rPr>
        <w:t>Understanding the molecular basis of maternal nutritional regulation of fetal development through the placenta</w:t>
      </w:r>
    </w:p>
    <w:p w:rsidR="00E0481A" w:rsidRPr="005855BA" w:rsidRDefault="00E0481A" w:rsidP="00E0481A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Development of cost effective tools for non invasive prenatal diagnostics</w:t>
      </w:r>
    </w:p>
    <w:p w:rsidR="00E0481A" w:rsidRPr="005855BA" w:rsidRDefault="00E0481A" w:rsidP="00E0481A">
      <w:pPr>
        <w:pStyle w:val="ListParagraph"/>
        <w:numPr>
          <w:ilvl w:val="0"/>
          <w:numId w:val="40"/>
        </w:numPr>
        <w:shd w:val="clear" w:color="auto" w:fill="FFFFFF"/>
        <w:spacing w:before="120" w:after="120" w:line="300" w:lineRule="atLeast"/>
        <w:outlineLvl w:val="0"/>
        <w:rPr>
          <w:bCs/>
          <w:color w:val="000000" w:themeColor="text1"/>
          <w:kern w:val="36"/>
          <w:sz w:val="24"/>
          <w:szCs w:val="24"/>
        </w:rPr>
      </w:pPr>
      <w:r w:rsidRPr="005855BA">
        <w:rPr>
          <w:bCs/>
          <w:color w:val="000000" w:themeColor="text1"/>
          <w:kern w:val="36"/>
          <w:sz w:val="24"/>
          <w:szCs w:val="24"/>
        </w:rPr>
        <w:t>Cost effective noninvasive prenatal genetic testing (NIPT)</w:t>
      </w:r>
    </w:p>
    <w:p w:rsidR="00E0481A" w:rsidRPr="005855BA" w:rsidRDefault="00E0481A" w:rsidP="00E0481A">
      <w:pPr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</w:p>
    <w:p w:rsidR="00E0481A" w:rsidRPr="005855BA" w:rsidRDefault="00E0481A" w:rsidP="00E0481A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Optimisation of tools/protocol for artificial intelligence for cardiac topography</w:t>
      </w:r>
    </w:p>
    <w:p w:rsidR="00E0481A" w:rsidRPr="005855BA" w:rsidRDefault="00E0481A" w:rsidP="00E0481A">
      <w:pPr>
        <w:pStyle w:val="ListParagraph"/>
        <w:jc w:val="both"/>
        <w:rPr>
          <w:bCs/>
          <w:color w:val="000000" w:themeColor="text1"/>
          <w:sz w:val="24"/>
          <w:szCs w:val="24"/>
          <w:lang w:val="en-IN"/>
        </w:rPr>
      </w:pPr>
    </w:p>
    <w:p w:rsidR="00E0481A" w:rsidRPr="005855BA" w:rsidRDefault="00E0481A" w:rsidP="00E0481A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Understanding the regulatory events associated with osteoporosis in women</w:t>
      </w:r>
    </w:p>
    <w:p w:rsidR="00E0481A" w:rsidRPr="005855BA" w:rsidRDefault="00E0481A" w:rsidP="00E0481A">
      <w:pPr>
        <w:pStyle w:val="ListParagraph"/>
        <w:numPr>
          <w:ilvl w:val="0"/>
          <w:numId w:val="40"/>
        </w:numPr>
        <w:spacing w:line="276" w:lineRule="auto"/>
        <w:jc w:val="both"/>
        <w:rPr>
          <w:bCs/>
          <w:color w:val="000000" w:themeColor="text1"/>
          <w:sz w:val="24"/>
          <w:szCs w:val="24"/>
          <w:lang w:val="en-IN"/>
        </w:rPr>
      </w:pPr>
      <w:r w:rsidRPr="005855BA">
        <w:rPr>
          <w:color w:val="000000" w:themeColor="text1"/>
          <w:sz w:val="24"/>
          <w:szCs w:val="24"/>
          <w:lang w:val="en-IN"/>
        </w:rPr>
        <w:t>Menopause and potential association with bone health and osteoporosis</w:t>
      </w:r>
    </w:p>
    <w:p w:rsidR="00E0481A" w:rsidRPr="005855BA" w:rsidRDefault="00E0481A" w:rsidP="00E0481A">
      <w:pPr>
        <w:pStyle w:val="ListParagraph"/>
        <w:jc w:val="both"/>
        <w:rPr>
          <w:bCs/>
          <w:color w:val="000000" w:themeColor="text1"/>
          <w:sz w:val="24"/>
          <w:szCs w:val="24"/>
          <w:lang w:val="en-IN"/>
        </w:rPr>
      </w:pPr>
    </w:p>
    <w:p w:rsidR="00E0481A" w:rsidRPr="005855BA" w:rsidRDefault="00E0481A" w:rsidP="00E0481A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Understanding and development of novel interventions for autoimmune disorders in women and understanding why women have more autoimmune diseases than men.</w:t>
      </w:r>
    </w:p>
    <w:p w:rsidR="00E0481A" w:rsidRPr="005855BA" w:rsidRDefault="00E0481A" w:rsidP="00E0481A">
      <w:pPr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</w:p>
    <w:p w:rsidR="00E0481A" w:rsidRPr="005855BA" w:rsidRDefault="00E0481A" w:rsidP="00E0481A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Delineation of etiological factors associated with Polycystic ovary syndrome</w:t>
      </w:r>
    </w:p>
    <w:p w:rsidR="00E0481A" w:rsidRPr="005855BA" w:rsidRDefault="00E0481A" w:rsidP="00E0481A">
      <w:pPr>
        <w:pStyle w:val="ListParagraph"/>
        <w:numPr>
          <w:ilvl w:val="0"/>
          <w:numId w:val="41"/>
        </w:numPr>
        <w:spacing w:before="100" w:beforeAutospacing="1" w:after="100" w:afterAutospacing="1" w:line="276" w:lineRule="auto"/>
        <w:ind w:left="810" w:hanging="450"/>
        <w:rPr>
          <w:color w:val="000000" w:themeColor="text1"/>
          <w:sz w:val="24"/>
          <w:szCs w:val="24"/>
        </w:rPr>
      </w:pPr>
      <w:r w:rsidRPr="005855BA">
        <w:rPr>
          <w:color w:val="000000" w:themeColor="text1"/>
          <w:sz w:val="24"/>
          <w:szCs w:val="24"/>
        </w:rPr>
        <w:t xml:space="preserve">Genetic predisposition profile in Indian women with PCOS </w:t>
      </w:r>
    </w:p>
    <w:p w:rsidR="00E0481A" w:rsidRPr="005855BA" w:rsidRDefault="00E0481A" w:rsidP="00E0481A">
      <w:pPr>
        <w:pStyle w:val="ListParagraph"/>
        <w:numPr>
          <w:ilvl w:val="0"/>
          <w:numId w:val="41"/>
        </w:numPr>
        <w:spacing w:before="100" w:beforeAutospacing="1" w:after="100" w:afterAutospacing="1" w:line="276" w:lineRule="auto"/>
        <w:ind w:left="810" w:hanging="450"/>
        <w:rPr>
          <w:color w:val="000000" w:themeColor="text1"/>
          <w:sz w:val="24"/>
          <w:szCs w:val="24"/>
        </w:rPr>
      </w:pPr>
      <w:r w:rsidRPr="005855BA">
        <w:rPr>
          <w:color w:val="000000" w:themeColor="text1"/>
          <w:sz w:val="24"/>
          <w:szCs w:val="24"/>
        </w:rPr>
        <w:t>Epigenetic modifications in women with PCOS</w:t>
      </w:r>
    </w:p>
    <w:p w:rsidR="00E0481A" w:rsidRPr="005855BA" w:rsidRDefault="00E0481A" w:rsidP="00E0481A">
      <w:pPr>
        <w:pStyle w:val="ListParagraph"/>
        <w:numPr>
          <w:ilvl w:val="0"/>
          <w:numId w:val="41"/>
        </w:numPr>
        <w:spacing w:before="100" w:beforeAutospacing="1" w:after="100" w:afterAutospacing="1" w:line="276" w:lineRule="auto"/>
        <w:ind w:left="810" w:hanging="450"/>
        <w:rPr>
          <w:color w:val="000000" w:themeColor="text1"/>
          <w:sz w:val="24"/>
          <w:szCs w:val="24"/>
        </w:rPr>
      </w:pPr>
      <w:r w:rsidRPr="005855BA">
        <w:rPr>
          <w:color w:val="000000" w:themeColor="text1"/>
          <w:sz w:val="24"/>
          <w:szCs w:val="24"/>
        </w:rPr>
        <w:t>Effect of environmental factors (exposure to endocrine disrupting chemicals) in development of PCOS in adolescent girls in India</w:t>
      </w:r>
    </w:p>
    <w:p w:rsidR="00E0481A" w:rsidRPr="005855BA" w:rsidRDefault="00E0481A" w:rsidP="00E0481A">
      <w:pPr>
        <w:pStyle w:val="ListParagraph"/>
        <w:numPr>
          <w:ilvl w:val="0"/>
          <w:numId w:val="41"/>
        </w:numPr>
        <w:spacing w:line="276" w:lineRule="auto"/>
        <w:ind w:left="810" w:hanging="450"/>
        <w:rPr>
          <w:color w:val="000000" w:themeColor="text1"/>
          <w:sz w:val="24"/>
          <w:szCs w:val="24"/>
        </w:rPr>
      </w:pPr>
      <w:r w:rsidRPr="005855BA">
        <w:rPr>
          <w:color w:val="000000" w:themeColor="text1"/>
          <w:sz w:val="24"/>
          <w:szCs w:val="24"/>
        </w:rPr>
        <w:t xml:space="preserve">Investigation of  Gut </w:t>
      </w:r>
      <w:proofErr w:type="spellStart"/>
      <w:r w:rsidRPr="005855BA">
        <w:rPr>
          <w:color w:val="000000" w:themeColor="text1"/>
          <w:sz w:val="24"/>
          <w:szCs w:val="24"/>
        </w:rPr>
        <w:t>dysbiosis</w:t>
      </w:r>
      <w:proofErr w:type="spellEnd"/>
      <w:r w:rsidRPr="005855BA">
        <w:rPr>
          <w:color w:val="000000" w:themeColor="text1"/>
          <w:sz w:val="24"/>
          <w:szCs w:val="24"/>
        </w:rPr>
        <w:t xml:space="preserve"> in women with PCOS</w:t>
      </w:r>
    </w:p>
    <w:p w:rsidR="00E0481A" w:rsidRPr="005855BA" w:rsidRDefault="00E0481A" w:rsidP="00E0481A">
      <w:pPr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</w:p>
    <w:p w:rsidR="00E0481A" w:rsidRPr="005855BA" w:rsidRDefault="00E0481A" w:rsidP="00E0481A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5855B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Diagnosis, mechanistic aspects and novel treatment modalities in ovarian and endometrial cancer.</w:t>
      </w:r>
    </w:p>
    <w:p w:rsidR="00E0481A" w:rsidRPr="005855BA" w:rsidRDefault="00E0481A" w:rsidP="00E0481A">
      <w:pPr>
        <w:pStyle w:val="ListParagraph"/>
        <w:numPr>
          <w:ilvl w:val="0"/>
          <w:numId w:val="42"/>
        </w:numPr>
        <w:spacing w:line="276" w:lineRule="auto"/>
        <w:ind w:left="810" w:hanging="450"/>
        <w:rPr>
          <w:color w:val="000000" w:themeColor="text1"/>
          <w:sz w:val="24"/>
          <w:szCs w:val="24"/>
        </w:rPr>
      </w:pPr>
      <w:r w:rsidRPr="005855BA">
        <w:rPr>
          <w:color w:val="000000" w:themeColor="text1"/>
          <w:kern w:val="24"/>
          <w:sz w:val="24"/>
          <w:szCs w:val="24"/>
        </w:rPr>
        <w:t>Development of markers for early diagnosis of endometriosis</w:t>
      </w:r>
    </w:p>
    <w:p w:rsidR="00E0481A" w:rsidRPr="005855BA" w:rsidRDefault="00E0481A" w:rsidP="00E0481A">
      <w:pPr>
        <w:pStyle w:val="ListParagraph"/>
        <w:numPr>
          <w:ilvl w:val="0"/>
          <w:numId w:val="42"/>
        </w:numPr>
        <w:spacing w:line="276" w:lineRule="auto"/>
        <w:ind w:left="810" w:hanging="450"/>
        <w:rPr>
          <w:color w:val="000000" w:themeColor="text1"/>
          <w:sz w:val="24"/>
          <w:szCs w:val="24"/>
        </w:rPr>
      </w:pPr>
      <w:r w:rsidRPr="005855BA">
        <w:rPr>
          <w:color w:val="000000" w:themeColor="text1"/>
          <w:kern w:val="24"/>
          <w:sz w:val="24"/>
          <w:szCs w:val="24"/>
        </w:rPr>
        <w:t>Elucidate the mechanisms underlying progression of ovarian cancers</w:t>
      </w:r>
    </w:p>
    <w:p w:rsidR="00E0481A" w:rsidRPr="005855BA" w:rsidRDefault="00E0481A" w:rsidP="00E0481A">
      <w:pPr>
        <w:pStyle w:val="ListParagraph"/>
        <w:numPr>
          <w:ilvl w:val="0"/>
          <w:numId w:val="42"/>
        </w:numPr>
        <w:spacing w:line="276" w:lineRule="auto"/>
        <w:ind w:left="810" w:hanging="450"/>
        <w:rPr>
          <w:color w:val="000000" w:themeColor="text1"/>
          <w:sz w:val="24"/>
          <w:szCs w:val="24"/>
        </w:rPr>
      </w:pPr>
      <w:r w:rsidRPr="005855BA">
        <w:rPr>
          <w:color w:val="000000" w:themeColor="text1"/>
          <w:kern w:val="24"/>
          <w:sz w:val="24"/>
          <w:szCs w:val="24"/>
        </w:rPr>
        <w:lastRenderedPageBreak/>
        <w:t xml:space="preserve">Studies to investigate mechanisms underlying thin </w:t>
      </w:r>
      <w:proofErr w:type="spellStart"/>
      <w:r w:rsidRPr="005855BA">
        <w:rPr>
          <w:color w:val="000000" w:themeColor="text1"/>
          <w:kern w:val="24"/>
          <w:sz w:val="24"/>
          <w:szCs w:val="24"/>
        </w:rPr>
        <w:t>endometrium</w:t>
      </w:r>
      <w:proofErr w:type="spellEnd"/>
      <w:r w:rsidRPr="005855BA">
        <w:rPr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5855BA">
        <w:rPr>
          <w:color w:val="000000" w:themeColor="text1"/>
          <w:kern w:val="24"/>
          <w:sz w:val="24"/>
          <w:szCs w:val="24"/>
        </w:rPr>
        <w:t>Ashermann</w:t>
      </w:r>
      <w:proofErr w:type="spellEnd"/>
      <w:r w:rsidRPr="005855BA">
        <w:rPr>
          <w:color w:val="000000" w:themeColor="text1"/>
          <w:kern w:val="24"/>
          <w:sz w:val="24"/>
          <w:szCs w:val="24"/>
        </w:rPr>
        <w:t xml:space="preserve"> syndrome, uterine fibroids</w:t>
      </w:r>
    </w:p>
    <w:p w:rsidR="00E0481A" w:rsidRPr="005855BA" w:rsidRDefault="00E0481A" w:rsidP="00E0481A">
      <w:pPr>
        <w:pStyle w:val="ListParagraph"/>
        <w:numPr>
          <w:ilvl w:val="0"/>
          <w:numId w:val="42"/>
        </w:numPr>
        <w:spacing w:line="276" w:lineRule="auto"/>
        <w:ind w:left="810" w:hanging="450"/>
        <w:rPr>
          <w:color w:val="000000" w:themeColor="text1"/>
          <w:sz w:val="24"/>
          <w:szCs w:val="24"/>
        </w:rPr>
      </w:pPr>
      <w:r w:rsidRPr="005855BA">
        <w:rPr>
          <w:color w:val="000000" w:themeColor="text1"/>
          <w:kern w:val="24"/>
          <w:sz w:val="24"/>
          <w:szCs w:val="24"/>
        </w:rPr>
        <w:t>Assessment of the impact of uterine fibroids on endometrial receptivity</w:t>
      </w:r>
    </w:p>
    <w:p w:rsidR="00E0481A" w:rsidRPr="005855BA" w:rsidRDefault="00E0481A" w:rsidP="00E0481A">
      <w:pPr>
        <w:pStyle w:val="ListParagraph"/>
        <w:numPr>
          <w:ilvl w:val="0"/>
          <w:numId w:val="42"/>
        </w:numPr>
        <w:spacing w:line="276" w:lineRule="auto"/>
        <w:ind w:left="810" w:hanging="450"/>
        <w:rPr>
          <w:color w:val="000000" w:themeColor="text1"/>
          <w:sz w:val="24"/>
          <w:szCs w:val="24"/>
        </w:rPr>
      </w:pPr>
      <w:r w:rsidRPr="005855BA">
        <w:rPr>
          <w:color w:val="000000" w:themeColor="text1"/>
          <w:sz w:val="24"/>
          <w:szCs w:val="24"/>
        </w:rPr>
        <w:t>New transgenic animal models of reproductive diseases for diagnosis and treatment</w:t>
      </w:r>
    </w:p>
    <w:p w:rsidR="00E0481A" w:rsidRDefault="00E0481A" w:rsidP="009B57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7C1" w:rsidRDefault="00261080" w:rsidP="009B57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6B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F27FBB">
        <w:rPr>
          <w:rFonts w:ascii="Times New Roman" w:hAnsi="Times New Roman" w:cs="Times New Roman"/>
          <w:b/>
          <w:sz w:val="24"/>
          <w:szCs w:val="24"/>
        </w:rPr>
        <w:t>LOIs</w:t>
      </w:r>
      <w:r w:rsidRPr="007F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2C5" w:rsidRPr="007F36B8">
        <w:rPr>
          <w:rFonts w:ascii="Times New Roman" w:hAnsi="Times New Roman" w:cs="Times New Roman"/>
          <w:b/>
          <w:sz w:val="24"/>
          <w:szCs w:val="24"/>
        </w:rPr>
        <w:t>which are</w:t>
      </w:r>
      <w:r w:rsidRPr="007F36B8">
        <w:rPr>
          <w:rFonts w:ascii="Times New Roman" w:hAnsi="Times New Roman" w:cs="Times New Roman"/>
          <w:b/>
          <w:sz w:val="24"/>
          <w:szCs w:val="24"/>
        </w:rPr>
        <w:t xml:space="preserve"> focused and those with translational potential would be preferred.</w:t>
      </w:r>
    </w:p>
    <w:p w:rsidR="009766C2" w:rsidRPr="009B57C1" w:rsidRDefault="00AF5416" w:rsidP="009B57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evaluation would be </w:t>
      </w:r>
      <w:r w:rsidR="00513141" w:rsidRPr="007F36B8">
        <w:rPr>
          <w:rFonts w:ascii="Times New Roman" w:hAnsi="Times New Roman" w:cs="Times New Roman"/>
          <w:sz w:val="24"/>
          <w:szCs w:val="24"/>
        </w:rPr>
        <w:t>in accordance with the stated goa</w:t>
      </w:r>
      <w:r w:rsidR="00AF42C5" w:rsidRPr="007F36B8">
        <w:rPr>
          <w:rFonts w:ascii="Times New Roman" w:hAnsi="Times New Roman" w:cs="Times New Roman"/>
          <w:sz w:val="24"/>
          <w:szCs w:val="24"/>
        </w:rPr>
        <w:t xml:space="preserve">ls of the </w:t>
      </w:r>
      <w:proofErr w:type="spellStart"/>
      <w:r w:rsidR="00AF42C5" w:rsidRPr="007F36B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AF42C5" w:rsidRPr="007F36B8">
        <w:rPr>
          <w:rFonts w:ascii="Times New Roman" w:hAnsi="Times New Roman" w:cs="Times New Roman"/>
          <w:sz w:val="24"/>
          <w:szCs w:val="24"/>
        </w:rPr>
        <w:t xml:space="preserve">, uniqueness, </w:t>
      </w:r>
      <w:r w:rsidR="00513141" w:rsidRPr="007F36B8">
        <w:rPr>
          <w:rFonts w:ascii="Times New Roman" w:hAnsi="Times New Roman" w:cs="Times New Roman"/>
          <w:sz w:val="24"/>
          <w:szCs w:val="24"/>
        </w:rPr>
        <w:t>track record of the main investigators</w:t>
      </w:r>
      <w:r w:rsidR="00AF42C5" w:rsidRPr="007F36B8">
        <w:rPr>
          <w:rFonts w:ascii="Times New Roman" w:hAnsi="Times New Roman" w:cs="Times New Roman"/>
          <w:sz w:val="24"/>
          <w:szCs w:val="24"/>
        </w:rPr>
        <w:t xml:space="preserve"> and feasibility of doing the proposed research in their present setting</w:t>
      </w:r>
      <w:r w:rsidR="00513141" w:rsidRPr="007F36B8">
        <w:rPr>
          <w:rFonts w:ascii="Times New Roman" w:hAnsi="Times New Roman" w:cs="Times New Roman"/>
          <w:sz w:val="24"/>
          <w:szCs w:val="24"/>
        </w:rPr>
        <w:t>. The decision would thereafter be c</w:t>
      </w:r>
      <w:r w:rsidR="008713CF" w:rsidRPr="007F36B8">
        <w:rPr>
          <w:rFonts w:ascii="Times New Roman" w:hAnsi="Times New Roman" w:cs="Times New Roman"/>
          <w:sz w:val="24"/>
          <w:szCs w:val="24"/>
        </w:rPr>
        <w:t>ommunicated to investigators/coordinators</w:t>
      </w:r>
      <w:r w:rsidR="00513141" w:rsidRPr="007F36B8">
        <w:rPr>
          <w:rFonts w:ascii="Times New Roman" w:hAnsi="Times New Roman" w:cs="Times New Roman"/>
          <w:sz w:val="24"/>
          <w:szCs w:val="24"/>
        </w:rPr>
        <w:t xml:space="preserve">. While experience in the area will be valued but will not be limiting for the right proposal. </w:t>
      </w:r>
    </w:p>
    <w:p w:rsidR="005B7AA2" w:rsidRDefault="00B96CBA" w:rsidP="008A21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6B8">
        <w:rPr>
          <w:rFonts w:ascii="Times New Roman" w:hAnsi="Times New Roman" w:cs="Times New Roman"/>
          <w:b/>
          <w:bCs/>
          <w:sz w:val="24"/>
          <w:szCs w:val="24"/>
        </w:rPr>
        <w:t>How to Apply</w:t>
      </w:r>
      <w:r w:rsidRPr="007F36B8">
        <w:rPr>
          <w:rFonts w:ascii="Times New Roman" w:hAnsi="Times New Roman" w:cs="Times New Roman"/>
          <w:sz w:val="24"/>
          <w:szCs w:val="24"/>
        </w:rPr>
        <w:t>: Interested investigators/</w:t>
      </w:r>
      <w:r w:rsidR="00270724" w:rsidRPr="007F36B8">
        <w:rPr>
          <w:rFonts w:ascii="Times New Roman" w:hAnsi="Times New Roman" w:cs="Times New Roman"/>
          <w:sz w:val="24"/>
          <w:szCs w:val="24"/>
        </w:rPr>
        <w:t>clinical researchers</w:t>
      </w:r>
      <w:r w:rsidRPr="007F36B8">
        <w:rPr>
          <w:rFonts w:ascii="Times New Roman" w:hAnsi="Times New Roman" w:cs="Times New Roman"/>
          <w:sz w:val="24"/>
          <w:szCs w:val="24"/>
        </w:rPr>
        <w:t>/</w:t>
      </w:r>
      <w:r w:rsidR="00270724" w:rsidRPr="007F36B8">
        <w:rPr>
          <w:rFonts w:ascii="Times New Roman" w:hAnsi="Times New Roman" w:cs="Times New Roman"/>
          <w:sz w:val="24"/>
          <w:szCs w:val="24"/>
        </w:rPr>
        <w:t>scientists</w:t>
      </w:r>
      <w:r w:rsidR="00270724">
        <w:rPr>
          <w:rFonts w:ascii="Times New Roman" w:hAnsi="Times New Roman" w:cs="Times New Roman"/>
          <w:sz w:val="24"/>
          <w:szCs w:val="24"/>
        </w:rPr>
        <w:t xml:space="preserve"> and clinicians with credible ideas </w:t>
      </w:r>
      <w:r w:rsidRPr="007F36B8">
        <w:rPr>
          <w:rFonts w:ascii="Times New Roman" w:hAnsi="Times New Roman" w:cs="Times New Roman"/>
          <w:sz w:val="24"/>
          <w:szCs w:val="24"/>
        </w:rPr>
        <w:t>working in</w:t>
      </w:r>
      <w:r w:rsidR="00270724">
        <w:rPr>
          <w:rFonts w:ascii="Times New Roman" w:hAnsi="Times New Roman" w:cs="Times New Roman"/>
          <w:sz w:val="24"/>
          <w:szCs w:val="24"/>
        </w:rPr>
        <w:t xml:space="preserve"> recognized R&amp;</w:t>
      </w:r>
      <w:r w:rsidRPr="007F36B8">
        <w:rPr>
          <w:rFonts w:ascii="Times New Roman" w:hAnsi="Times New Roman" w:cs="Times New Roman"/>
          <w:sz w:val="24"/>
          <w:szCs w:val="24"/>
        </w:rPr>
        <w:t xml:space="preserve">D Institutions can </w:t>
      </w:r>
      <w:r w:rsidR="00270724">
        <w:rPr>
          <w:rFonts w:ascii="Times New Roman" w:hAnsi="Times New Roman" w:cs="Times New Roman"/>
          <w:sz w:val="24"/>
          <w:szCs w:val="24"/>
        </w:rPr>
        <w:t xml:space="preserve">come together to </w:t>
      </w:r>
      <w:r w:rsidRPr="007F36B8">
        <w:rPr>
          <w:rFonts w:ascii="Times New Roman" w:hAnsi="Times New Roman" w:cs="Times New Roman"/>
          <w:sz w:val="24"/>
          <w:szCs w:val="24"/>
        </w:rPr>
        <w:t xml:space="preserve">submit the </w:t>
      </w:r>
      <w:r w:rsidR="00974224">
        <w:rPr>
          <w:rFonts w:ascii="Times New Roman" w:hAnsi="Times New Roman" w:cs="Times New Roman"/>
          <w:sz w:val="24"/>
          <w:szCs w:val="24"/>
        </w:rPr>
        <w:t>LOIs</w:t>
      </w:r>
      <w:r w:rsidRPr="007F36B8">
        <w:rPr>
          <w:rFonts w:ascii="Times New Roman" w:hAnsi="Times New Roman" w:cs="Times New Roman"/>
          <w:sz w:val="24"/>
          <w:szCs w:val="24"/>
        </w:rPr>
        <w:t xml:space="preserve"> through email as per </w:t>
      </w:r>
      <w:r w:rsidR="00AF42C5" w:rsidRPr="007F36B8">
        <w:rPr>
          <w:rFonts w:ascii="Times New Roman" w:hAnsi="Times New Roman" w:cs="Times New Roman"/>
          <w:sz w:val="24"/>
          <w:szCs w:val="24"/>
        </w:rPr>
        <w:t xml:space="preserve">the </w:t>
      </w:r>
      <w:r w:rsidR="00F46AD5" w:rsidRPr="007F36B8">
        <w:rPr>
          <w:rFonts w:ascii="Times New Roman" w:hAnsi="Times New Roman" w:cs="Times New Roman"/>
          <w:sz w:val="24"/>
          <w:szCs w:val="24"/>
        </w:rPr>
        <w:t xml:space="preserve">format </w:t>
      </w:r>
      <w:r w:rsidRPr="007F36B8">
        <w:rPr>
          <w:rFonts w:ascii="Times New Roman" w:hAnsi="Times New Roman" w:cs="Times New Roman"/>
          <w:sz w:val="24"/>
          <w:szCs w:val="24"/>
        </w:rPr>
        <w:t xml:space="preserve">given below. Two hard copies of the same should be sent to Dr. </w:t>
      </w:r>
      <w:proofErr w:type="spellStart"/>
      <w:r w:rsidRPr="007F36B8">
        <w:rPr>
          <w:rFonts w:ascii="Times New Roman" w:hAnsi="Times New Roman" w:cs="Times New Roman"/>
          <w:sz w:val="24"/>
          <w:szCs w:val="24"/>
        </w:rPr>
        <w:t>Anamika</w:t>
      </w:r>
      <w:proofErr w:type="spellEnd"/>
      <w:r w:rsidR="00B8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6B8">
        <w:rPr>
          <w:rFonts w:ascii="Times New Roman" w:hAnsi="Times New Roman" w:cs="Times New Roman"/>
          <w:sz w:val="24"/>
          <w:szCs w:val="24"/>
        </w:rPr>
        <w:t>Gambhir</w:t>
      </w:r>
      <w:proofErr w:type="spellEnd"/>
      <w:r w:rsidRPr="007F36B8">
        <w:rPr>
          <w:rFonts w:ascii="Times New Roman" w:hAnsi="Times New Roman" w:cs="Times New Roman"/>
          <w:sz w:val="24"/>
          <w:szCs w:val="24"/>
        </w:rPr>
        <w:t>, Department of Biotechnology, Block-2, Room no.610, CGO Complex, Lodhi Road, New Delhi-110003, bearing the Advertisement No.</w:t>
      </w:r>
      <w:r w:rsidR="00B40373">
        <w:rPr>
          <w:rFonts w:ascii="Times New Roman" w:hAnsi="Times New Roman" w:cs="Times New Roman"/>
          <w:sz w:val="24"/>
          <w:szCs w:val="24"/>
        </w:rPr>
        <w:t>,</w:t>
      </w:r>
      <w:r w:rsidRPr="007F36B8">
        <w:rPr>
          <w:rFonts w:ascii="Times New Roman" w:hAnsi="Times New Roman" w:cs="Times New Roman"/>
          <w:sz w:val="24"/>
          <w:szCs w:val="24"/>
        </w:rPr>
        <w:t xml:space="preserve"> and </w:t>
      </w:r>
      <w:r w:rsidR="00E03A5E">
        <w:rPr>
          <w:rFonts w:ascii="Times New Roman" w:hAnsi="Times New Roman" w:cs="Times New Roman"/>
          <w:sz w:val="24"/>
          <w:szCs w:val="24"/>
        </w:rPr>
        <w:t>T</w:t>
      </w:r>
      <w:r w:rsidR="00B40373">
        <w:rPr>
          <w:rFonts w:ascii="Times New Roman" w:hAnsi="Times New Roman" w:cs="Times New Roman"/>
          <w:sz w:val="24"/>
          <w:szCs w:val="24"/>
        </w:rPr>
        <w:t>itle on</w:t>
      </w:r>
      <w:r w:rsidRPr="007F36B8">
        <w:rPr>
          <w:rFonts w:ascii="Times New Roman" w:hAnsi="Times New Roman" w:cs="Times New Roman"/>
          <w:sz w:val="24"/>
          <w:szCs w:val="24"/>
        </w:rPr>
        <w:t xml:space="preserve"> the </w:t>
      </w:r>
      <w:r w:rsidR="00B40373">
        <w:rPr>
          <w:rFonts w:ascii="Times New Roman" w:hAnsi="Times New Roman" w:cs="Times New Roman"/>
          <w:sz w:val="24"/>
          <w:szCs w:val="24"/>
        </w:rPr>
        <w:t>envelop in the format</w:t>
      </w:r>
      <w:r w:rsidR="0068574F">
        <w:rPr>
          <w:rFonts w:ascii="Times New Roman" w:hAnsi="Times New Roman" w:cs="Times New Roman"/>
          <w:sz w:val="24"/>
          <w:szCs w:val="24"/>
        </w:rPr>
        <w:t xml:space="preserve"> by </w:t>
      </w:r>
      <w:r w:rsidR="00AD2DB8">
        <w:rPr>
          <w:rFonts w:ascii="Times New Roman" w:hAnsi="Times New Roman" w:cs="Times New Roman"/>
          <w:sz w:val="24"/>
          <w:szCs w:val="24"/>
        </w:rPr>
        <w:t>31</w:t>
      </w:r>
      <w:r w:rsidR="00AD2DB8" w:rsidRPr="00AD2DB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D2DB8">
        <w:rPr>
          <w:rFonts w:ascii="Times New Roman" w:hAnsi="Times New Roman" w:cs="Times New Roman"/>
          <w:sz w:val="24"/>
          <w:szCs w:val="24"/>
        </w:rPr>
        <w:t xml:space="preserve"> </w:t>
      </w:r>
      <w:r w:rsidR="00EE263B">
        <w:rPr>
          <w:rFonts w:ascii="Times New Roman" w:hAnsi="Times New Roman" w:cs="Times New Roman"/>
          <w:sz w:val="24"/>
          <w:szCs w:val="24"/>
        </w:rPr>
        <w:t>January 2020.</w:t>
      </w:r>
      <w:r w:rsidR="00B40373">
        <w:rPr>
          <w:rFonts w:ascii="Times New Roman" w:hAnsi="Times New Roman" w:cs="Times New Roman"/>
          <w:sz w:val="24"/>
          <w:szCs w:val="24"/>
        </w:rPr>
        <w:t xml:space="preserve"> </w:t>
      </w:r>
      <w:r w:rsidRPr="007F36B8">
        <w:rPr>
          <w:rFonts w:ascii="Times New Roman" w:hAnsi="Times New Roman" w:cs="Times New Roman"/>
          <w:sz w:val="24"/>
          <w:szCs w:val="24"/>
        </w:rPr>
        <w:t>(Email</w:t>
      </w:r>
      <w:r w:rsidR="0068574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68574F" w:rsidRPr="001D5C62">
          <w:rPr>
            <w:rStyle w:val="Hyperlink"/>
            <w:rFonts w:ascii="Times New Roman" w:hAnsi="Times New Roman" w:cs="Times New Roman"/>
            <w:sz w:val="24"/>
            <w:szCs w:val="24"/>
          </w:rPr>
          <w:t>reproductivebiologydbt@gmail.com</w:t>
        </w:r>
      </w:hyperlink>
      <w:r w:rsidR="0068574F" w:rsidRPr="00EE36CB">
        <w:rPr>
          <w:rFonts w:ascii="Times New Roman" w:hAnsi="Times New Roman" w:cs="Times New Roman"/>
          <w:sz w:val="24"/>
          <w:szCs w:val="24"/>
        </w:rPr>
        <w:t>/</w:t>
      </w:r>
      <w:hyperlink r:id="rId9" w:history="1">
        <w:r w:rsidR="0068574F" w:rsidRPr="000670E9">
          <w:rPr>
            <w:rStyle w:val="Hyperlink"/>
            <w:rFonts w:ascii="Times New Roman" w:hAnsi="Times New Roman" w:cs="Times New Roman"/>
            <w:sz w:val="24"/>
            <w:szCs w:val="24"/>
          </w:rPr>
          <w:t>medbio2.hddb@nic.in</w:t>
        </w:r>
      </w:hyperlink>
      <w:r w:rsidRPr="007F36B8">
        <w:rPr>
          <w:rFonts w:ascii="Times New Roman" w:hAnsi="Times New Roman" w:cs="Times New Roman"/>
          <w:sz w:val="24"/>
          <w:szCs w:val="24"/>
        </w:rPr>
        <w:t>)</w:t>
      </w:r>
      <w:r w:rsidR="00D74377">
        <w:rPr>
          <w:rFonts w:ascii="Times New Roman" w:hAnsi="Times New Roman" w:cs="Times New Roman"/>
          <w:sz w:val="24"/>
          <w:szCs w:val="24"/>
        </w:rPr>
        <w:t>.</w:t>
      </w:r>
      <w:r w:rsidR="008A212C">
        <w:rPr>
          <w:rFonts w:ascii="Times New Roman" w:hAnsi="Times New Roman" w:cs="Times New Roman"/>
          <w:sz w:val="24"/>
          <w:szCs w:val="24"/>
        </w:rPr>
        <w:t xml:space="preserve"> </w:t>
      </w:r>
      <w:r w:rsidR="008A212C" w:rsidRPr="008A212C">
        <w:rPr>
          <w:rFonts w:ascii="Times New Roman" w:hAnsi="Times New Roman" w:cs="Times New Roman"/>
          <w:b/>
          <w:bCs/>
          <w:sz w:val="24"/>
          <w:szCs w:val="24"/>
        </w:rPr>
        <w:t xml:space="preserve">For any specific queries you may contact Dr </w:t>
      </w:r>
      <w:proofErr w:type="spellStart"/>
      <w:r w:rsidR="008A212C" w:rsidRPr="008A212C">
        <w:rPr>
          <w:rFonts w:ascii="Times New Roman" w:hAnsi="Times New Roman" w:cs="Times New Roman"/>
          <w:b/>
          <w:bCs/>
          <w:sz w:val="24"/>
          <w:szCs w:val="24"/>
        </w:rPr>
        <w:t>Anamika</w:t>
      </w:r>
      <w:proofErr w:type="spellEnd"/>
      <w:r w:rsidR="008A212C" w:rsidRPr="008A2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A212C" w:rsidRPr="008A212C">
        <w:rPr>
          <w:rFonts w:ascii="Times New Roman" w:hAnsi="Times New Roman" w:cs="Times New Roman"/>
          <w:b/>
          <w:bCs/>
          <w:sz w:val="24"/>
          <w:szCs w:val="24"/>
        </w:rPr>
        <w:t>Gambhir</w:t>
      </w:r>
      <w:proofErr w:type="spellEnd"/>
      <w:r w:rsidR="008A212C" w:rsidRPr="008A212C">
        <w:rPr>
          <w:rFonts w:ascii="Times New Roman" w:hAnsi="Times New Roman" w:cs="Times New Roman"/>
          <w:b/>
          <w:bCs/>
          <w:sz w:val="24"/>
          <w:szCs w:val="24"/>
        </w:rPr>
        <w:t xml:space="preserve"> (9870396331) </w:t>
      </w:r>
    </w:p>
    <w:p w:rsidR="0064334F" w:rsidRPr="007F36B8" w:rsidRDefault="0064334F" w:rsidP="008A21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6B8">
        <w:rPr>
          <w:rFonts w:ascii="Times New Roman" w:hAnsi="Times New Roman" w:cs="Times New Roman"/>
          <w:b/>
          <w:i/>
          <w:sz w:val="24"/>
          <w:szCs w:val="24"/>
        </w:rPr>
        <w:t>Note</w:t>
      </w:r>
      <w:r w:rsidRPr="007F36B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E308D" w:rsidRPr="007F36B8">
        <w:rPr>
          <w:rFonts w:ascii="Times New Roman" w:hAnsi="Times New Roman" w:cs="Times New Roman"/>
          <w:i/>
          <w:sz w:val="24"/>
          <w:szCs w:val="24"/>
        </w:rPr>
        <w:t xml:space="preserve">Format: </w:t>
      </w:r>
      <w:r w:rsidRPr="007F36B8">
        <w:rPr>
          <w:rFonts w:ascii="Times New Roman" w:hAnsi="Times New Roman" w:cs="Times New Roman"/>
          <w:i/>
          <w:sz w:val="24"/>
          <w:szCs w:val="24"/>
        </w:rPr>
        <w:t>Single space; Font: Arial; Size 12</w:t>
      </w:r>
    </w:p>
    <w:p w:rsidR="00B54C9A" w:rsidRDefault="00B54C9A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1A47" w:rsidRDefault="00A71A47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2D8D" w:rsidRDefault="00732D8D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4F" w:rsidRDefault="0068574F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4F" w:rsidRDefault="0068574F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4F" w:rsidRDefault="0068574F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4F" w:rsidRDefault="0068574F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4F" w:rsidRDefault="0068574F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4F" w:rsidRDefault="0068574F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4F" w:rsidRDefault="0068574F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4F" w:rsidRDefault="0068574F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4F" w:rsidRDefault="0068574F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481A" w:rsidRDefault="00E0481A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BA" w:rsidRPr="007F36B8" w:rsidRDefault="00650B6E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36B8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</w:t>
      </w:r>
      <w:r w:rsidR="00CE0684" w:rsidRPr="007F36B8">
        <w:rPr>
          <w:rFonts w:ascii="Times New Roman" w:hAnsi="Times New Roman" w:cs="Times New Roman"/>
          <w:b/>
          <w:bCs/>
          <w:sz w:val="24"/>
          <w:szCs w:val="24"/>
        </w:rPr>
        <w:t>forma</w:t>
      </w:r>
      <w:proofErr w:type="spellEnd"/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>1.</w:t>
      </w:r>
      <w:r w:rsidR="00D0132D">
        <w:rPr>
          <w:rFonts w:ascii="Times New Roman" w:hAnsi="Times New Roman" w:cs="Times New Roman"/>
          <w:sz w:val="24"/>
          <w:szCs w:val="24"/>
        </w:rPr>
        <w:t xml:space="preserve"> </w:t>
      </w:r>
      <w:r w:rsidRPr="007F36B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F36B8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F36B8">
        <w:rPr>
          <w:rFonts w:ascii="Times New Roman" w:hAnsi="Times New Roman" w:cs="Times New Roman"/>
          <w:sz w:val="24"/>
          <w:szCs w:val="24"/>
        </w:rPr>
        <w:t xml:space="preserve">) Project/ </w:t>
      </w:r>
      <w:proofErr w:type="spellStart"/>
      <w:r w:rsidRPr="007F36B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7F36B8">
        <w:rPr>
          <w:rFonts w:ascii="Times New Roman" w:hAnsi="Times New Roman" w:cs="Times New Roman"/>
          <w:sz w:val="24"/>
          <w:szCs w:val="24"/>
        </w:rPr>
        <w:t xml:space="preserve"> Title</w:t>
      </w: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 xml:space="preserve">    (ii) Specific Area of your </w:t>
      </w:r>
      <w:r w:rsidR="00F46AD5" w:rsidRPr="007F36B8">
        <w:rPr>
          <w:rFonts w:ascii="Times New Roman" w:hAnsi="Times New Roman" w:cs="Times New Roman"/>
          <w:sz w:val="24"/>
          <w:szCs w:val="24"/>
        </w:rPr>
        <w:t>proposal</w:t>
      </w: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 xml:space="preserve">    (iii) Single or Multi-centric</w:t>
      </w:r>
    </w:p>
    <w:p w:rsidR="00B96CBA" w:rsidRPr="007F36B8" w:rsidRDefault="00B96CBA" w:rsidP="00043344">
      <w:pPr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gramStart"/>
      <w:r w:rsidRPr="007F36B8">
        <w:rPr>
          <w:rFonts w:ascii="Times New Roman" w:hAnsi="Times New Roman" w:cs="Times New Roman"/>
          <w:sz w:val="24"/>
          <w:szCs w:val="24"/>
        </w:rPr>
        <w:t>(iv) Names</w:t>
      </w:r>
      <w:proofErr w:type="gramEnd"/>
      <w:r w:rsidRPr="007F36B8">
        <w:rPr>
          <w:rFonts w:ascii="Times New Roman" w:hAnsi="Times New Roman" w:cs="Times New Roman"/>
          <w:sz w:val="24"/>
          <w:szCs w:val="24"/>
        </w:rPr>
        <w:t>(s) of the Investigator(s),</w:t>
      </w: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 xml:space="preserve">    (v) Institute address, Contact numbers etc.</w:t>
      </w:r>
    </w:p>
    <w:p w:rsidR="00E7522A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 xml:space="preserve">2. </w:t>
      </w:r>
      <w:r w:rsidR="00E7522A" w:rsidRPr="00E7522A">
        <w:rPr>
          <w:rFonts w:ascii="Times New Roman" w:hAnsi="Times New Roman" w:cs="Times New Roman"/>
          <w:sz w:val="24"/>
          <w:szCs w:val="24"/>
        </w:rPr>
        <w:t xml:space="preserve"> </w:t>
      </w:r>
      <w:r w:rsidR="00E7522A" w:rsidRPr="008B179F">
        <w:rPr>
          <w:rFonts w:ascii="Times New Roman" w:hAnsi="Times New Roman" w:cs="Times New Roman"/>
          <w:sz w:val="24"/>
          <w:szCs w:val="24"/>
        </w:rPr>
        <w:t>Indicate category of domain expertise and potential PIs (Basic and/or clinical research). Multifaceted and multi-institutional collaborations encouraged</w:t>
      </w:r>
      <w:r w:rsidRPr="007F36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22A" w:rsidRDefault="00E7522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F36B8">
        <w:rPr>
          <w:rFonts w:ascii="Times New Roman" w:hAnsi="Times New Roman" w:cs="Times New Roman"/>
          <w:sz w:val="24"/>
          <w:szCs w:val="24"/>
        </w:rPr>
        <w:t>Scientific Hypothesis and key questions to be addressed and Primary Objectives (100 words)</w:t>
      </w:r>
    </w:p>
    <w:p w:rsidR="00B96CBA" w:rsidRPr="007F36B8" w:rsidRDefault="00E7522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46AD5" w:rsidRPr="007F36B8">
        <w:rPr>
          <w:rFonts w:ascii="Times New Roman" w:hAnsi="Times New Roman" w:cs="Times New Roman"/>
          <w:sz w:val="24"/>
          <w:szCs w:val="24"/>
        </w:rPr>
        <w:t>Detailed work plan i.e., h</w:t>
      </w:r>
      <w:r w:rsidR="00B96CBA" w:rsidRPr="007F36B8">
        <w:rPr>
          <w:rFonts w:ascii="Times New Roman" w:hAnsi="Times New Roman" w:cs="Times New Roman"/>
          <w:sz w:val="24"/>
          <w:szCs w:val="24"/>
        </w:rPr>
        <w:t>ow</w:t>
      </w:r>
      <w:r w:rsidR="00F46AD5" w:rsidRPr="007F36B8">
        <w:rPr>
          <w:rFonts w:ascii="Times New Roman" w:hAnsi="Times New Roman" w:cs="Times New Roman"/>
          <w:sz w:val="24"/>
          <w:szCs w:val="24"/>
        </w:rPr>
        <w:t xml:space="preserve"> will you test the hypothesis/</w:t>
      </w:r>
      <w:r w:rsidR="00B96CBA" w:rsidRPr="007F36B8">
        <w:rPr>
          <w:rFonts w:ascii="Times New Roman" w:hAnsi="Times New Roman" w:cs="Times New Roman"/>
          <w:sz w:val="24"/>
          <w:szCs w:val="24"/>
        </w:rPr>
        <w:t>approach towards developmentof techno</w:t>
      </w:r>
      <w:r w:rsidR="00F46AD5" w:rsidRPr="007F36B8">
        <w:rPr>
          <w:rFonts w:ascii="Times New Roman" w:hAnsi="Times New Roman" w:cs="Times New Roman"/>
          <w:sz w:val="24"/>
          <w:szCs w:val="24"/>
        </w:rPr>
        <w:t>logy and solutions? (500 Words)</w:t>
      </w:r>
    </w:p>
    <w:p w:rsidR="00B96CBA" w:rsidRPr="007F36B8" w:rsidRDefault="00E7522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6CBA" w:rsidRPr="007F36B8">
        <w:rPr>
          <w:rFonts w:ascii="Times New Roman" w:hAnsi="Times New Roman" w:cs="Times New Roman"/>
          <w:sz w:val="24"/>
          <w:szCs w:val="24"/>
        </w:rPr>
        <w:t>. What is the novelty in your approach?</w:t>
      </w:r>
    </w:p>
    <w:p w:rsidR="00B96CBA" w:rsidRPr="007F36B8" w:rsidRDefault="00E7522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96CBA" w:rsidRPr="007F36B8">
        <w:rPr>
          <w:rFonts w:ascii="Times New Roman" w:hAnsi="Times New Roman" w:cs="Times New Roman"/>
          <w:sz w:val="24"/>
          <w:szCs w:val="24"/>
        </w:rPr>
        <w:t>. Feasibility of doing the study in your present institution/workplace.</w:t>
      </w:r>
    </w:p>
    <w:p w:rsidR="00B96CBA" w:rsidRPr="007F36B8" w:rsidRDefault="00F46AD5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>7</w:t>
      </w:r>
      <w:r w:rsidR="00B96CBA" w:rsidRPr="007F36B8">
        <w:rPr>
          <w:rFonts w:ascii="Times New Roman" w:hAnsi="Times New Roman" w:cs="Times New Roman"/>
          <w:sz w:val="24"/>
          <w:szCs w:val="24"/>
        </w:rPr>
        <w:t xml:space="preserve">. </w:t>
      </w:r>
      <w:r w:rsidR="00E21C3D" w:rsidRPr="00E7522A">
        <w:rPr>
          <w:rFonts w:ascii="Times New Roman" w:hAnsi="Times New Roman" w:cs="Times New Roman"/>
          <w:sz w:val="24"/>
          <w:szCs w:val="24"/>
          <w:lang w:val="en-IN"/>
        </w:rPr>
        <w:t>Tentative budget (under the headings Non-recurring/Manpower/Recurring).</w:t>
      </w:r>
    </w:p>
    <w:p w:rsidR="00B96CBA" w:rsidRPr="007F36B8" w:rsidRDefault="00F46AD5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>8</w:t>
      </w:r>
      <w:r w:rsidR="00B96CBA" w:rsidRPr="007F36B8">
        <w:rPr>
          <w:rFonts w:ascii="Times New Roman" w:hAnsi="Times New Roman" w:cs="Times New Roman"/>
          <w:sz w:val="24"/>
          <w:szCs w:val="24"/>
        </w:rPr>
        <w:t xml:space="preserve">. </w:t>
      </w:r>
      <w:r w:rsidR="00E7522A" w:rsidRPr="008B179F">
        <w:rPr>
          <w:rFonts w:ascii="Times New Roman" w:hAnsi="Times New Roman" w:cs="Times New Roman"/>
          <w:sz w:val="24"/>
          <w:szCs w:val="24"/>
        </w:rPr>
        <w:t>List 4-6 statements on expected deliverables (a) study outcomes (or) translational outcomes.</w:t>
      </w:r>
    </w:p>
    <w:p w:rsidR="00B96CBA" w:rsidRDefault="00F46AD5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>9</w:t>
      </w:r>
      <w:r w:rsidR="00B96CBA" w:rsidRPr="007F36B8">
        <w:rPr>
          <w:rFonts w:ascii="Times New Roman" w:hAnsi="Times New Roman" w:cs="Times New Roman"/>
          <w:sz w:val="24"/>
          <w:szCs w:val="24"/>
        </w:rPr>
        <w:t xml:space="preserve">. </w:t>
      </w:r>
      <w:r w:rsidR="00E7522A" w:rsidRPr="007F36B8">
        <w:rPr>
          <w:rFonts w:ascii="Times New Roman" w:hAnsi="Times New Roman" w:cs="Times New Roman"/>
          <w:sz w:val="24"/>
          <w:szCs w:val="24"/>
        </w:rPr>
        <w:t>Professional Experiences and Training relevant to the project</w:t>
      </w:r>
    </w:p>
    <w:p w:rsidR="008B179F" w:rsidRPr="008B179F" w:rsidRDefault="008B179F" w:rsidP="008B1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79F">
        <w:rPr>
          <w:rFonts w:ascii="Times New Roman" w:hAnsi="Times New Roman" w:cs="Times New Roman"/>
          <w:sz w:val="24"/>
          <w:szCs w:val="24"/>
        </w:rPr>
        <w:t xml:space="preserve">10. </w:t>
      </w:r>
      <w:r w:rsidR="00E7522A" w:rsidRPr="007F36B8">
        <w:rPr>
          <w:rFonts w:ascii="Times New Roman" w:hAnsi="Times New Roman" w:cs="Times New Roman"/>
          <w:sz w:val="24"/>
          <w:szCs w:val="24"/>
        </w:rPr>
        <w:t>CV of the investigators as per format (Annexure I).</w:t>
      </w:r>
    </w:p>
    <w:p w:rsidR="00E7522A" w:rsidRDefault="00E7522A" w:rsidP="00E7522A">
      <w:pPr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E21C3D" w:rsidRPr="007F36B8">
        <w:rPr>
          <w:rFonts w:ascii="Times New Roman" w:hAnsi="Times New Roman" w:cs="Times New Roman"/>
          <w:sz w:val="24"/>
          <w:szCs w:val="24"/>
        </w:rPr>
        <w:t>Any other highlight</w:t>
      </w:r>
      <w:r w:rsidR="00E21C3D">
        <w:rPr>
          <w:rFonts w:ascii="Times New Roman" w:hAnsi="Times New Roman" w:cs="Times New Roman"/>
          <w:sz w:val="24"/>
          <w:szCs w:val="24"/>
        </w:rPr>
        <w:t>s</w:t>
      </w:r>
      <w:r w:rsidR="00E21C3D" w:rsidRPr="00E7522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8B179F" w:rsidRPr="008B179F" w:rsidRDefault="008B179F" w:rsidP="008B1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179F" w:rsidRPr="007F36B8" w:rsidRDefault="008B179F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7EDB" w:rsidRPr="007F36B8" w:rsidRDefault="004E7EDB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EFF" w:rsidRPr="007F36B8" w:rsidRDefault="00622EFF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FF" w:rsidRDefault="00622EFF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49B1" w:rsidRPr="007F36B8" w:rsidRDefault="007449B1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36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(Annexure I) </w:t>
      </w: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F36B8">
        <w:rPr>
          <w:rFonts w:ascii="Times New Roman" w:hAnsi="Times New Roman" w:cs="Times New Roman"/>
          <w:sz w:val="24"/>
          <w:szCs w:val="24"/>
        </w:rPr>
        <w:t xml:space="preserve">Name  </w:t>
      </w:r>
      <w:r w:rsidRPr="007F36B8">
        <w:rPr>
          <w:rFonts w:ascii="Times New Roman" w:hAnsi="Times New Roman" w:cs="Times New Roman"/>
          <w:sz w:val="24"/>
          <w:szCs w:val="24"/>
        </w:rPr>
        <w:tab/>
        <w:t>:……………………………………………..………………..………….</w:t>
      </w:r>
      <w:proofErr w:type="gramEnd"/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 xml:space="preserve">2. Date of </w:t>
      </w:r>
      <w:proofErr w:type="gramStart"/>
      <w:r w:rsidRPr="007F36B8">
        <w:rPr>
          <w:rFonts w:ascii="Times New Roman" w:hAnsi="Times New Roman" w:cs="Times New Roman"/>
          <w:sz w:val="24"/>
          <w:szCs w:val="24"/>
        </w:rPr>
        <w:t>Birth :</w:t>
      </w:r>
      <w:proofErr w:type="gramEnd"/>
      <w:r w:rsidRPr="007F36B8">
        <w:rPr>
          <w:rFonts w:ascii="Times New Roman" w:hAnsi="Times New Roman" w:cs="Times New Roman"/>
          <w:sz w:val="24"/>
          <w:szCs w:val="24"/>
        </w:rPr>
        <w:t xml:space="preserve"> .....................……………………. 3. Sex (M/F)</w:t>
      </w:r>
      <w:proofErr w:type="gramStart"/>
      <w:r w:rsidRPr="007F36B8">
        <w:rPr>
          <w:rFonts w:ascii="Times New Roman" w:hAnsi="Times New Roman" w:cs="Times New Roman"/>
          <w:sz w:val="24"/>
          <w:szCs w:val="24"/>
        </w:rPr>
        <w:t>:............................….…</w:t>
      </w:r>
      <w:proofErr w:type="gramEnd"/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>4. Designation ……………………………………………………………………….</w:t>
      </w: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F36B8">
        <w:rPr>
          <w:rFonts w:ascii="Times New Roman" w:hAnsi="Times New Roman" w:cs="Times New Roman"/>
          <w:sz w:val="24"/>
          <w:szCs w:val="24"/>
        </w:rPr>
        <w:t>Department :</w:t>
      </w:r>
      <w:proofErr w:type="gramEnd"/>
      <w:r w:rsidRPr="007F36B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…………………………………………………………………….………</w:t>
      </w: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>6. Institute/</w:t>
      </w:r>
      <w:proofErr w:type="gramStart"/>
      <w:r w:rsidRPr="007F36B8">
        <w:rPr>
          <w:rFonts w:ascii="Times New Roman" w:hAnsi="Times New Roman" w:cs="Times New Roman"/>
          <w:sz w:val="24"/>
          <w:szCs w:val="24"/>
        </w:rPr>
        <w:t>University :</w:t>
      </w:r>
      <w:proofErr w:type="gramEnd"/>
      <w:r w:rsidRPr="007F36B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…………………………………………………………….………</w:t>
      </w: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F36B8">
        <w:rPr>
          <w:rFonts w:ascii="Times New Roman" w:hAnsi="Times New Roman" w:cs="Times New Roman"/>
          <w:sz w:val="24"/>
          <w:szCs w:val="24"/>
        </w:rPr>
        <w:t>Address :</w:t>
      </w:r>
      <w:proofErr w:type="gramEnd"/>
      <w:r w:rsidRPr="007F36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………………………………………………………………………………….…..……</w:t>
      </w: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36B8">
        <w:rPr>
          <w:rFonts w:ascii="Times New Roman" w:hAnsi="Times New Roman" w:cs="Times New Roman"/>
          <w:sz w:val="24"/>
          <w:szCs w:val="24"/>
        </w:rPr>
        <w:t>PIN :</w:t>
      </w:r>
      <w:proofErr w:type="gramEnd"/>
      <w:r w:rsidRPr="007F36B8">
        <w:rPr>
          <w:rFonts w:ascii="Times New Roman" w:hAnsi="Times New Roman" w:cs="Times New Roman"/>
          <w:sz w:val="24"/>
          <w:szCs w:val="24"/>
        </w:rPr>
        <w:t xml:space="preserve"> ....................................Telephone : .......................... </w:t>
      </w:r>
      <w:proofErr w:type="gramStart"/>
      <w:r w:rsidRPr="007F36B8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7F36B8">
        <w:rPr>
          <w:rFonts w:ascii="Times New Roman" w:hAnsi="Times New Roman" w:cs="Times New Roman"/>
          <w:sz w:val="24"/>
          <w:szCs w:val="24"/>
        </w:rPr>
        <w:t>:…………...................</w:t>
      </w: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>8. Specialization/Research Areas………………………………………………………..</w:t>
      </w: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>9. Education Details (Post-graduation onwards &amp; Professional Career)</w:t>
      </w:r>
    </w:p>
    <w:tbl>
      <w:tblPr>
        <w:tblStyle w:val="TableGrid"/>
        <w:tblW w:w="0" w:type="auto"/>
        <w:tblInd w:w="198" w:type="dxa"/>
        <w:tblLook w:val="04A0"/>
      </w:tblPr>
      <w:tblGrid>
        <w:gridCol w:w="730"/>
        <w:gridCol w:w="2598"/>
        <w:gridCol w:w="2550"/>
        <w:gridCol w:w="1707"/>
        <w:gridCol w:w="1459"/>
      </w:tblGrid>
      <w:tr w:rsidR="00B96CBA" w:rsidRPr="007F36B8" w:rsidTr="00B540FF">
        <w:tc>
          <w:tcPr>
            <w:tcW w:w="730" w:type="dxa"/>
          </w:tcPr>
          <w:p w:rsidR="00B96CBA" w:rsidRPr="007F36B8" w:rsidRDefault="00B96CBA" w:rsidP="00B5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6B8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598" w:type="dxa"/>
          </w:tcPr>
          <w:p w:rsidR="00B96CBA" w:rsidRPr="007F36B8" w:rsidRDefault="00B96CBA" w:rsidP="00B5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6B8">
              <w:rPr>
                <w:rFonts w:ascii="Times New Roman" w:hAnsi="Times New Roman" w:cs="Times New Roman"/>
                <w:sz w:val="24"/>
                <w:szCs w:val="24"/>
              </w:rPr>
              <w:t>DEGREE AWARDED</w:t>
            </w:r>
          </w:p>
        </w:tc>
        <w:tc>
          <w:tcPr>
            <w:tcW w:w="2550" w:type="dxa"/>
          </w:tcPr>
          <w:p w:rsidR="00B96CBA" w:rsidRPr="007F36B8" w:rsidRDefault="00B96CBA" w:rsidP="00B5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6B8">
              <w:rPr>
                <w:rFonts w:ascii="Times New Roman" w:hAnsi="Times New Roman" w:cs="Times New Roman"/>
                <w:sz w:val="24"/>
                <w:szCs w:val="24"/>
              </w:rPr>
              <w:t>INSTITUTION/PLACE</w:t>
            </w:r>
          </w:p>
        </w:tc>
        <w:tc>
          <w:tcPr>
            <w:tcW w:w="1707" w:type="dxa"/>
          </w:tcPr>
          <w:p w:rsidR="00B96CBA" w:rsidRPr="007F36B8" w:rsidRDefault="00B96CBA" w:rsidP="00B5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6B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Pr="007F36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9" w:type="dxa"/>
          </w:tcPr>
          <w:p w:rsidR="00B96CBA" w:rsidRPr="007F36B8" w:rsidRDefault="00B96CBA" w:rsidP="00B5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6B8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</w:tr>
      <w:tr w:rsidR="00B96CBA" w:rsidRPr="007F36B8" w:rsidTr="00B540FF">
        <w:tc>
          <w:tcPr>
            <w:tcW w:w="730" w:type="dxa"/>
          </w:tcPr>
          <w:p w:rsidR="00B96CBA" w:rsidRPr="007F36B8" w:rsidRDefault="00B96CBA" w:rsidP="00B5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B96CBA" w:rsidRPr="007F36B8" w:rsidRDefault="00B96CBA" w:rsidP="00B5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96CBA" w:rsidRPr="007F36B8" w:rsidRDefault="00B96CBA" w:rsidP="00B5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96CBA" w:rsidRPr="007F36B8" w:rsidRDefault="00B96CBA" w:rsidP="00B5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96CBA" w:rsidRPr="007F36B8" w:rsidRDefault="00B96CBA" w:rsidP="00B5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6CBA" w:rsidRPr="007F36B8" w:rsidRDefault="00B96CBA" w:rsidP="00B96CBA">
      <w:pPr>
        <w:spacing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>10. Employment Details: Position and Employment (Starting with the most recent employment)</w:t>
      </w:r>
    </w:p>
    <w:tbl>
      <w:tblPr>
        <w:tblStyle w:val="TableGrid"/>
        <w:tblW w:w="0" w:type="auto"/>
        <w:tblInd w:w="198" w:type="dxa"/>
        <w:tblLook w:val="04A0"/>
      </w:tblPr>
      <w:tblGrid>
        <w:gridCol w:w="730"/>
        <w:gridCol w:w="2598"/>
        <w:gridCol w:w="2550"/>
        <w:gridCol w:w="1707"/>
        <w:gridCol w:w="1459"/>
      </w:tblGrid>
      <w:tr w:rsidR="00B96CBA" w:rsidRPr="007F36B8" w:rsidTr="00B540FF">
        <w:trPr>
          <w:trHeight w:val="665"/>
        </w:trPr>
        <w:tc>
          <w:tcPr>
            <w:tcW w:w="730" w:type="dxa"/>
          </w:tcPr>
          <w:p w:rsidR="00B96CBA" w:rsidRPr="007F36B8" w:rsidRDefault="00B96CBA" w:rsidP="00B540FF">
            <w:pPr>
              <w:spacing w:after="20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8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598" w:type="dxa"/>
          </w:tcPr>
          <w:p w:rsidR="00B96CBA" w:rsidRPr="007F36B8" w:rsidRDefault="00B96CBA" w:rsidP="00B5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6B8">
              <w:rPr>
                <w:rFonts w:ascii="Times New Roman" w:hAnsi="Times New Roman" w:cs="Times New Roman"/>
                <w:sz w:val="24"/>
                <w:szCs w:val="24"/>
              </w:rPr>
              <w:t>INSTITUTION/PLACE</w:t>
            </w:r>
          </w:p>
        </w:tc>
        <w:tc>
          <w:tcPr>
            <w:tcW w:w="2550" w:type="dxa"/>
          </w:tcPr>
          <w:p w:rsidR="00B96CBA" w:rsidRPr="007F36B8" w:rsidRDefault="00B96CBA" w:rsidP="00B540F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8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707" w:type="dxa"/>
          </w:tcPr>
          <w:p w:rsidR="00B96CBA" w:rsidRPr="007F36B8" w:rsidRDefault="00B96CBA" w:rsidP="00B540F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8">
              <w:rPr>
                <w:rFonts w:ascii="Times New Roman" w:hAnsi="Times New Roman" w:cs="Times New Roman"/>
                <w:sz w:val="24"/>
                <w:szCs w:val="24"/>
              </w:rPr>
              <w:t>FROM DATE</w:t>
            </w:r>
          </w:p>
        </w:tc>
        <w:tc>
          <w:tcPr>
            <w:tcW w:w="1459" w:type="dxa"/>
          </w:tcPr>
          <w:p w:rsidR="00B96CBA" w:rsidRPr="007F36B8" w:rsidRDefault="00B96CBA" w:rsidP="00B540F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8">
              <w:rPr>
                <w:rFonts w:ascii="Times New Roman" w:hAnsi="Times New Roman" w:cs="Times New Roman"/>
                <w:sz w:val="24"/>
                <w:szCs w:val="24"/>
              </w:rPr>
              <w:t>TO DATE</w:t>
            </w:r>
          </w:p>
        </w:tc>
      </w:tr>
      <w:tr w:rsidR="00B96CBA" w:rsidRPr="007F36B8" w:rsidTr="00B540FF">
        <w:tc>
          <w:tcPr>
            <w:tcW w:w="730" w:type="dxa"/>
          </w:tcPr>
          <w:p w:rsidR="00B96CBA" w:rsidRPr="007F36B8" w:rsidRDefault="00B96CBA" w:rsidP="00B540F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B96CBA" w:rsidRPr="007F36B8" w:rsidRDefault="00B96CBA" w:rsidP="00B540F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96CBA" w:rsidRPr="007F36B8" w:rsidRDefault="00B96CBA" w:rsidP="00B540F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96CBA" w:rsidRPr="007F36B8" w:rsidRDefault="00B96CBA" w:rsidP="00B540F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96CBA" w:rsidRPr="007F36B8" w:rsidRDefault="00B96CBA" w:rsidP="00B540F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>11. Awards/Honors Details</w:t>
      </w:r>
    </w:p>
    <w:p w:rsidR="00B96CBA" w:rsidRPr="007F36B8" w:rsidRDefault="00B96CBA" w:rsidP="00B9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>12. Details of ongoing/completed projects.</w:t>
      </w:r>
    </w:p>
    <w:p w:rsidR="00B96CBA" w:rsidRPr="007F36B8" w:rsidRDefault="00B96CBA" w:rsidP="00043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6B8">
        <w:rPr>
          <w:rFonts w:ascii="Times New Roman" w:hAnsi="Times New Roman" w:cs="Times New Roman"/>
          <w:sz w:val="24"/>
          <w:szCs w:val="24"/>
        </w:rPr>
        <w:t>13. Publications of the last 5 year</w:t>
      </w:r>
      <w:bookmarkStart w:id="0" w:name="_GoBack"/>
      <w:bookmarkEnd w:id="0"/>
      <w:r w:rsidRPr="007F36B8">
        <w:rPr>
          <w:rFonts w:ascii="Times New Roman" w:hAnsi="Times New Roman" w:cs="Times New Roman"/>
          <w:sz w:val="24"/>
          <w:szCs w:val="24"/>
        </w:rPr>
        <w:t>s in relevant areas.</w:t>
      </w:r>
    </w:p>
    <w:sectPr w:rsidR="00B96CBA" w:rsidRPr="007F36B8" w:rsidSect="00732D8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06"/>
    <w:multiLevelType w:val="hybridMultilevel"/>
    <w:tmpl w:val="B08A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6496"/>
    <w:multiLevelType w:val="hybridMultilevel"/>
    <w:tmpl w:val="EC446C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B28A7"/>
    <w:multiLevelType w:val="hybridMultilevel"/>
    <w:tmpl w:val="A3BE4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184E51"/>
    <w:multiLevelType w:val="hybridMultilevel"/>
    <w:tmpl w:val="70B41B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CF1BBD"/>
    <w:multiLevelType w:val="hybridMultilevel"/>
    <w:tmpl w:val="AF68A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61A10"/>
    <w:multiLevelType w:val="hybridMultilevel"/>
    <w:tmpl w:val="254078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D637A3"/>
    <w:multiLevelType w:val="hybridMultilevel"/>
    <w:tmpl w:val="8E6EB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FE3CD9"/>
    <w:multiLevelType w:val="hybridMultilevel"/>
    <w:tmpl w:val="2CCC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316F5"/>
    <w:multiLevelType w:val="hybridMultilevel"/>
    <w:tmpl w:val="6EA08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81800"/>
    <w:multiLevelType w:val="hybridMultilevel"/>
    <w:tmpl w:val="B08A10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21834B5"/>
    <w:multiLevelType w:val="hybridMultilevel"/>
    <w:tmpl w:val="16A07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EB4355"/>
    <w:multiLevelType w:val="hybridMultilevel"/>
    <w:tmpl w:val="967A66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23ED7DD2"/>
    <w:multiLevelType w:val="hybridMultilevel"/>
    <w:tmpl w:val="4F42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411E9"/>
    <w:multiLevelType w:val="hybridMultilevel"/>
    <w:tmpl w:val="8510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C5852"/>
    <w:multiLevelType w:val="hybridMultilevel"/>
    <w:tmpl w:val="F3C697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FE48F2"/>
    <w:multiLevelType w:val="hybridMultilevel"/>
    <w:tmpl w:val="61822A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75C06"/>
    <w:multiLevelType w:val="hybridMultilevel"/>
    <w:tmpl w:val="EE664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723DCC"/>
    <w:multiLevelType w:val="hybridMultilevel"/>
    <w:tmpl w:val="A090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34E52"/>
    <w:multiLevelType w:val="hybridMultilevel"/>
    <w:tmpl w:val="B36021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19C4C3F"/>
    <w:multiLevelType w:val="hybridMultilevel"/>
    <w:tmpl w:val="960CCF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C4AE7"/>
    <w:multiLevelType w:val="hybridMultilevel"/>
    <w:tmpl w:val="29727E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622D43"/>
    <w:multiLevelType w:val="multilevel"/>
    <w:tmpl w:val="2F8E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465688"/>
    <w:multiLevelType w:val="hybridMultilevel"/>
    <w:tmpl w:val="1CC064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F57374"/>
    <w:multiLevelType w:val="hybridMultilevel"/>
    <w:tmpl w:val="D51C3E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49165A"/>
    <w:multiLevelType w:val="hybridMultilevel"/>
    <w:tmpl w:val="7A8E2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8D4C26"/>
    <w:multiLevelType w:val="hybridMultilevel"/>
    <w:tmpl w:val="3B1E55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553F6"/>
    <w:multiLevelType w:val="hybridMultilevel"/>
    <w:tmpl w:val="34CAA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C464D0"/>
    <w:multiLevelType w:val="hybridMultilevel"/>
    <w:tmpl w:val="8E0E59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713C7"/>
    <w:multiLevelType w:val="hybridMultilevel"/>
    <w:tmpl w:val="F072C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9C1049"/>
    <w:multiLevelType w:val="hybridMultilevel"/>
    <w:tmpl w:val="04C44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C0839"/>
    <w:multiLevelType w:val="hybridMultilevel"/>
    <w:tmpl w:val="213C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0262E3"/>
    <w:multiLevelType w:val="hybridMultilevel"/>
    <w:tmpl w:val="DE9460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EDF53A8"/>
    <w:multiLevelType w:val="hybridMultilevel"/>
    <w:tmpl w:val="0CD25434"/>
    <w:lvl w:ilvl="0" w:tplc="BD002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F00ECA"/>
    <w:multiLevelType w:val="hybridMultilevel"/>
    <w:tmpl w:val="338619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4C115D3"/>
    <w:multiLevelType w:val="hybridMultilevel"/>
    <w:tmpl w:val="FF04D7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6964C24"/>
    <w:multiLevelType w:val="hybridMultilevel"/>
    <w:tmpl w:val="99689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50516"/>
    <w:multiLevelType w:val="hybridMultilevel"/>
    <w:tmpl w:val="36C47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F46604"/>
    <w:multiLevelType w:val="hybridMultilevel"/>
    <w:tmpl w:val="6826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801A4"/>
    <w:multiLevelType w:val="hybridMultilevel"/>
    <w:tmpl w:val="35987A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776B84"/>
    <w:multiLevelType w:val="hybridMultilevel"/>
    <w:tmpl w:val="CA525F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7B0375"/>
    <w:multiLevelType w:val="hybridMultilevel"/>
    <w:tmpl w:val="A68A9D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643A24"/>
    <w:multiLevelType w:val="hybridMultilevel"/>
    <w:tmpl w:val="90FEF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95CC2"/>
    <w:multiLevelType w:val="hybridMultilevel"/>
    <w:tmpl w:val="940E64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15"/>
  </w:num>
  <w:num w:numId="4">
    <w:abstractNumId w:val="8"/>
  </w:num>
  <w:num w:numId="5">
    <w:abstractNumId w:val="13"/>
  </w:num>
  <w:num w:numId="6">
    <w:abstractNumId w:val="21"/>
  </w:num>
  <w:num w:numId="7">
    <w:abstractNumId w:val="12"/>
  </w:num>
  <w:num w:numId="8">
    <w:abstractNumId w:val="22"/>
  </w:num>
  <w:num w:numId="9">
    <w:abstractNumId w:val="3"/>
  </w:num>
  <w:num w:numId="10">
    <w:abstractNumId w:val="31"/>
  </w:num>
  <w:num w:numId="11">
    <w:abstractNumId w:val="11"/>
  </w:num>
  <w:num w:numId="12">
    <w:abstractNumId w:val="40"/>
  </w:num>
  <w:num w:numId="13">
    <w:abstractNumId w:val="25"/>
  </w:num>
  <w:num w:numId="14">
    <w:abstractNumId w:val="38"/>
  </w:num>
  <w:num w:numId="15">
    <w:abstractNumId w:val="0"/>
  </w:num>
  <w:num w:numId="16">
    <w:abstractNumId w:val="33"/>
  </w:num>
  <w:num w:numId="17">
    <w:abstractNumId w:val="1"/>
  </w:num>
  <w:num w:numId="18">
    <w:abstractNumId w:val="19"/>
  </w:num>
  <w:num w:numId="19">
    <w:abstractNumId w:val="34"/>
  </w:num>
  <w:num w:numId="20">
    <w:abstractNumId w:val="23"/>
  </w:num>
  <w:num w:numId="21">
    <w:abstractNumId w:val="41"/>
  </w:num>
  <w:num w:numId="22">
    <w:abstractNumId w:val="37"/>
  </w:num>
  <w:num w:numId="23">
    <w:abstractNumId w:val="14"/>
  </w:num>
  <w:num w:numId="24">
    <w:abstractNumId w:val="39"/>
  </w:num>
  <w:num w:numId="25">
    <w:abstractNumId w:val="18"/>
  </w:num>
  <w:num w:numId="26">
    <w:abstractNumId w:val="16"/>
  </w:num>
  <w:num w:numId="27">
    <w:abstractNumId w:val="28"/>
  </w:num>
  <w:num w:numId="28">
    <w:abstractNumId w:val="5"/>
  </w:num>
  <w:num w:numId="29">
    <w:abstractNumId w:val="20"/>
  </w:num>
  <w:num w:numId="30">
    <w:abstractNumId w:val="26"/>
  </w:num>
  <w:num w:numId="31">
    <w:abstractNumId w:val="35"/>
  </w:num>
  <w:num w:numId="32">
    <w:abstractNumId w:val="29"/>
  </w:num>
  <w:num w:numId="33">
    <w:abstractNumId w:val="32"/>
  </w:num>
  <w:num w:numId="34">
    <w:abstractNumId w:val="36"/>
  </w:num>
  <w:num w:numId="35">
    <w:abstractNumId w:val="7"/>
  </w:num>
  <w:num w:numId="36">
    <w:abstractNumId w:val="4"/>
  </w:num>
  <w:num w:numId="37">
    <w:abstractNumId w:val="2"/>
  </w:num>
  <w:num w:numId="38">
    <w:abstractNumId w:val="6"/>
  </w:num>
  <w:num w:numId="39">
    <w:abstractNumId w:val="30"/>
  </w:num>
  <w:num w:numId="40">
    <w:abstractNumId w:val="17"/>
  </w:num>
  <w:num w:numId="41">
    <w:abstractNumId w:val="9"/>
  </w:num>
  <w:num w:numId="42">
    <w:abstractNumId w:val="10"/>
  </w:num>
  <w:num w:numId="43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ddarth Ramji">
    <w15:presenceInfo w15:providerId="Windows Live" w15:userId="770a4daa68c2f8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8BC"/>
    <w:rsid w:val="00013BD0"/>
    <w:rsid w:val="00014695"/>
    <w:rsid w:val="00015FD4"/>
    <w:rsid w:val="00021F0E"/>
    <w:rsid w:val="000421E2"/>
    <w:rsid w:val="00043344"/>
    <w:rsid w:val="00047752"/>
    <w:rsid w:val="00053424"/>
    <w:rsid w:val="00067B18"/>
    <w:rsid w:val="00071094"/>
    <w:rsid w:val="000974D1"/>
    <w:rsid w:val="000A5234"/>
    <w:rsid w:val="000A6A95"/>
    <w:rsid w:val="000B39C8"/>
    <w:rsid w:val="000B6C77"/>
    <w:rsid w:val="000B6F1C"/>
    <w:rsid w:val="000F416E"/>
    <w:rsid w:val="0010099A"/>
    <w:rsid w:val="001139DF"/>
    <w:rsid w:val="00115517"/>
    <w:rsid w:val="00140020"/>
    <w:rsid w:val="0015228A"/>
    <w:rsid w:val="00155869"/>
    <w:rsid w:val="00164F56"/>
    <w:rsid w:val="001670FE"/>
    <w:rsid w:val="00186644"/>
    <w:rsid w:val="001871E5"/>
    <w:rsid w:val="00194C79"/>
    <w:rsid w:val="0019639D"/>
    <w:rsid w:val="0019669D"/>
    <w:rsid w:val="001B2F8A"/>
    <w:rsid w:val="001C658A"/>
    <w:rsid w:val="001D4186"/>
    <w:rsid w:val="002048B4"/>
    <w:rsid w:val="00207E4F"/>
    <w:rsid w:val="00261080"/>
    <w:rsid w:val="00266072"/>
    <w:rsid w:val="00267CAA"/>
    <w:rsid w:val="00270724"/>
    <w:rsid w:val="00275E55"/>
    <w:rsid w:val="002C1117"/>
    <w:rsid w:val="002C3235"/>
    <w:rsid w:val="002D6DA2"/>
    <w:rsid w:val="0030063F"/>
    <w:rsid w:val="00307C76"/>
    <w:rsid w:val="0035198B"/>
    <w:rsid w:val="0036265A"/>
    <w:rsid w:val="00384B0A"/>
    <w:rsid w:val="003958DA"/>
    <w:rsid w:val="003B0FBC"/>
    <w:rsid w:val="003C0E4B"/>
    <w:rsid w:val="003D00C0"/>
    <w:rsid w:val="003F2110"/>
    <w:rsid w:val="00415F8F"/>
    <w:rsid w:val="00432B5C"/>
    <w:rsid w:val="004464C4"/>
    <w:rsid w:val="00466577"/>
    <w:rsid w:val="0047593B"/>
    <w:rsid w:val="00494E49"/>
    <w:rsid w:val="004A540A"/>
    <w:rsid w:val="004B0258"/>
    <w:rsid w:val="004C6805"/>
    <w:rsid w:val="004D3B94"/>
    <w:rsid w:val="004D6E26"/>
    <w:rsid w:val="004E0356"/>
    <w:rsid w:val="004E74A7"/>
    <w:rsid w:val="004E7EDB"/>
    <w:rsid w:val="004F69D0"/>
    <w:rsid w:val="00502A2E"/>
    <w:rsid w:val="005077C9"/>
    <w:rsid w:val="00511F07"/>
    <w:rsid w:val="00513141"/>
    <w:rsid w:val="00524837"/>
    <w:rsid w:val="00531EC7"/>
    <w:rsid w:val="00560D75"/>
    <w:rsid w:val="0057148E"/>
    <w:rsid w:val="005B7AA2"/>
    <w:rsid w:val="005E1D76"/>
    <w:rsid w:val="005F17DB"/>
    <w:rsid w:val="005F63E9"/>
    <w:rsid w:val="00602478"/>
    <w:rsid w:val="00604B20"/>
    <w:rsid w:val="00607A6C"/>
    <w:rsid w:val="00622EFF"/>
    <w:rsid w:val="00635E89"/>
    <w:rsid w:val="0064334F"/>
    <w:rsid w:val="0064585A"/>
    <w:rsid w:val="00650B6E"/>
    <w:rsid w:val="006769CE"/>
    <w:rsid w:val="00683B2D"/>
    <w:rsid w:val="0068574F"/>
    <w:rsid w:val="00693619"/>
    <w:rsid w:val="006C0A12"/>
    <w:rsid w:val="006E2596"/>
    <w:rsid w:val="007136A5"/>
    <w:rsid w:val="00732D8D"/>
    <w:rsid w:val="007449B1"/>
    <w:rsid w:val="00747F53"/>
    <w:rsid w:val="00750E65"/>
    <w:rsid w:val="00771770"/>
    <w:rsid w:val="007D44BB"/>
    <w:rsid w:val="007E0ABA"/>
    <w:rsid w:val="007E2F83"/>
    <w:rsid w:val="007F36B8"/>
    <w:rsid w:val="00800881"/>
    <w:rsid w:val="00802041"/>
    <w:rsid w:val="008328EA"/>
    <w:rsid w:val="00841921"/>
    <w:rsid w:val="0084666A"/>
    <w:rsid w:val="008704AA"/>
    <w:rsid w:val="008713CF"/>
    <w:rsid w:val="00873160"/>
    <w:rsid w:val="00877406"/>
    <w:rsid w:val="008A212C"/>
    <w:rsid w:val="008B179F"/>
    <w:rsid w:val="008B3135"/>
    <w:rsid w:val="008C0C32"/>
    <w:rsid w:val="008C131B"/>
    <w:rsid w:val="008E308D"/>
    <w:rsid w:val="008F4212"/>
    <w:rsid w:val="00922440"/>
    <w:rsid w:val="0095053E"/>
    <w:rsid w:val="00951630"/>
    <w:rsid w:val="00957B35"/>
    <w:rsid w:val="00970B1C"/>
    <w:rsid w:val="00974224"/>
    <w:rsid w:val="009766C2"/>
    <w:rsid w:val="009811CF"/>
    <w:rsid w:val="00982CDD"/>
    <w:rsid w:val="009B57C1"/>
    <w:rsid w:val="009D7EC0"/>
    <w:rsid w:val="009E3E19"/>
    <w:rsid w:val="00A02E08"/>
    <w:rsid w:val="00A215CF"/>
    <w:rsid w:val="00A2360C"/>
    <w:rsid w:val="00A47884"/>
    <w:rsid w:val="00A71A47"/>
    <w:rsid w:val="00A9064A"/>
    <w:rsid w:val="00AB481E"/>
    <w:rsid w:val="00AD2DB8"/>
    <w:rsid w:val="00AE5692"/>
    <w:rsid w:val="00AF42C5"/>
    <w:rsid w:val="00AF5416"/>
    <w:rsid w:val="00B00FCF"/>
    <w:rsid w:val="00B254D2"/>
    <w:rsid w:val="00B40373"/>
    <w:rsid w:val="00B42EE1"/>
    <w:rsid w:val="00B540FF"/>
    <w:rsid w:val="00B54C9A"/>
    <w:rsid w:val="00B84765"/>
    <w:rsid w:val="00B84B9E"/>
    <w:rsid w:val="00B96CBA"/>
    <w:rsid w:val="00BC5FA6"/>
    <w:rsid w:val="00BD3B44"/>
    <w:rsid w:val="00BE6D38"/>
    <w:rsid w:val="00BE7AA5"/>
    <w:rsid w:val="00C1291E"/>
    <w:rsid w:val="00C21393"/>
    <w:rsid w:val="00C52DD2"/>
    <w:rsid w:val="00C77855"/>
    <w:rsid w:val="00C84DA0"/>
    <w:rsid w:val="00CB01F1"/>
    <w:rsid w:val="00CB3227"/>
    <w:rsid w:val="00CC6608"/>
    <w:rsid w:val="00CE0684"/>
    <w:rsid w:val="00CF0802"/>
    <w:rsid w:val="00D0132D"/>
    <w:rsid w:val="00D220C8"/>
    <w:rsid w:val="00D3304E"/>
    <w:rsid w:val="00D57516"/>
    <w:rsid w:val="00D66001"/>
    <w:rsid w:val="00D66297"/>
    <w:rsid w:val="00D74377"/>
    <w:rsid w:val="00D82465"/>
    <w:rsid w:val="00D92A0B"/>
    <w:rsid w:val="00DA16EA"/>
    <w:rsid w:val="00DB38C6"/>
    <w:rsid w:val="00DD0FD0"/>
    <w:rsid w:val="00DE41B5"/>
    <w:rsid w:val="00DF10D7"/>
    <w:rsid w:val="00DF2B45"/>
    <w:rsid w:val="00DF4D7F"/>
    <w:rsid w:val="00E03A5E"/>
    <w:rsid w:val="00E0481A"/>
    <w:rsid w:val="00E0500F"/>
    <w:rsid w:val="00E107BC"/>
    <w:rsid w:val="00E1588B"/>
    <w:rsid w:val="00E21C3D"/>
    <w:rsid w:val="00E308D9"/>
    <w:rsid w:val="00E50E25"/>
    <w:rsid w:val="00E71CC2"/>
    <w:rsid w:val="00E7510D"/>
    <w:rsid w:val="00E7522A"/>
    <w:rsid w:val="00EB51E2"/>
    <w:rsid w:val="00EC07E1"/>
    <w:rsid w:val="00EC3602"/>
    <w:rsid w:val="00EE263B"/>
    <w:rsid w:val="00F0096C"/>
    <w:rsid w:val="00F0126E"/>
    <w:rsid w:val="00F03DD9"/>
    <w:rsid w:val="00F156FF"/>
    <w:rsid w:val="00F218BC"/>
    <w:rsid w:val="00F225F1"/>
    <w:rsid w:val="00F27FBB"/>
    <w:rsid w:val="00F311C3"/>
    <w:rsid w:val="00F32F00"/>
    <w:rsid w:val="00F46AD5"/>
    <w:rsid w:val="00F526B1"/>
    <w:rsid w:val="00F52DE6"/>
    <w:rsid w:val="00F95C3D"/>
    <w:rsid w:val="00FD569E"/>
    <w:rsid w:val="00FD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B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18BC"/>
  </w:style>
  <w:style w:type="paragraph" w:styleId="ListParagraph">
    <w:name w:val="List Paragraph"/>
    <w:basedOn w:val="Normal"/>
    <w:uiPriority w:val="34"/>
    <w:qFormat/>
    <w:rsid w:val="00F218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NoSpacing">
    <w:name w:val="No Spacing"/>
    <w:uiPriority w:val="1"/>
    <w:qFormat/>
    <w:rsid w:val="00FD5B81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26108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F225F1"/>
    <w:pPr>
      <w:spacing w:after="0" w:line="240" w:lineRule="auto"/>
    </w:pPr>
    <w:rPr>
      <w:rFonts w:ascii="Calibri" w:eastAsia="Calibri" w:hAnsi="Calibri" w:cs="Calibri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F225F1"/>
    <w:rPr>
      <w:rFonts w:ascii="Calibri" w:eastAsia="Calibri" w:hAnsi="Calibri" w:cs="Calibri"/>
      <w:sz w:val="21"/>
      <w:szCs w:val="21"/>
      <w:lang w:val="en-IN"/>
    </w:rPr>
  </w:style>
  <w:style w:type="table" w:styleId="TableGrid">
    <w:name w:val="Table Grid"/>
    <w:basedOn w:val="TableNormal"/>
    <w:uiPriority w:val="59"/>
    <w:rsid w:val="00B96CBA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9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91E"/>
    <w:rPr>
      <w:rFonts w:ascii="Lucida Grande" w:eastAsiaTheme="minorEastAsia" w:hAnsi="Lucida Grande" w:cs="Lucida Grande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54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541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oductivebiologydbt@gmail.com" TargetMode="External"/><Relationship Id="rId3" Type="http://schemas.openxmlformats.org/officeDocument/2006/relationships/styles" Target="styles.xml"/><Relationship Id="rId7" Type="http://schemas.openxmlformats.org/officeDocument/2006/relationships/image" Target="http://www.vimarsh.in/sites/default/files/DepartmentofScienceandTechnology.jpg?1347712412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bio2.hddb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3F0E-2CA2-45F4-81F0-A2B5BA8D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615</dc:creator>
  <cp:lastModifiedBy>615</cp:lastModifiedBy>
  <cp:revision>15</cp:revision>
  <cp:lastPrinted>2019-11-20T04:55:00Z</cp:lastPrinted>
  <dcterms:created xsi:type="dcterms:W3CDTF">2019-11-04T05:20:00Z</dcterms:created>
  <dcterms:modified xsi:type="dcterms:W3CDTF">2019-11-25T05:57:00Z</dcterms:modified>
</cp:coreProperties>
</file>